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D867" w14:textId="77777777" w:rsidR="00F05B52" w:rsidRDefault="00F05B52" w:rsidP="003D14F7">
      <w:pPr>
        <w:spacing w:line="240" w:lineRule="auto"/>
        <w:rPr>
          <w:rFonts w:ascii="Arial" w:hAnsi="Arial"/>
          <w:b w:val="0"/>
          <w:bCs/>
          <w:sz w:val="18"/>
        </w:rPr>
      </w:pPr>
      <w:bookmarkStart w:id="0" w:name="_GoBack"/>
      <w:bookmarkEnd w:id="0"/>
    </w:p>
    <w:p w14:paraId="53B8D868" w14:textId="77777777" w:rsidR="003D14F7" w:rsidRDefault="003D14F7" w:rsidP="003D14F7">
      <w:pPr>
        <w:spacing w:line="240" w:lineRule="auto"/>
        <w:rPr>
          <w:rFonts w:ascii="Arial" w:hAnsi="Arial"/>
          <w:b w:val="0"/>
          <w:bCs/>
          <w:sz w:val="18"/>
        </w:rPr>
      </w:pPr>
      <w:r>
        <w:rPr>
          <w:rFonts w:ascii="Arial" w:hAnsi="Arial"/>
          <w:b w:val="0"/>
          <w:bCs/>
          <w:sz w:val="18"/>
        </w:rPr>
        <w:t xml:space="preserve">Superior </w:t>
      </w:r>
      <w:r w:rsidR="002647C5">
        <w:rPr>
          <w:rFonts w:ascii="Arial" w:hAnsi="Arial"/>
          <w:b w:val="0"/>
          <w:bCs/>
          <w:sz w:val="18"/>
        </w:rPr>
        <w:t xml:space="preserve">Court </w:t>
      </w:r>
      <w:r>
        <w:rPr>
          <w:rFonts w:ascii="Arial" w:hAnsi="Arial"/>
          <w:b w:val="0"/>
          <w:bCs/>
          <w:sz w:val="18"/>
        </w:rPr>
        <w:t>of California</w:t>
      </w:r>
    </w:p>
    <w:p w14:paraId="53B8D869" w14:textId="77777777" w:rsidR="003D14F7" w:rsidRDefault="003D14F7" w:rsidP="003D14F7">
      <w:pPr>
        <w:spacing w:line="240" w:lineRule="auto"/>
        <w:rPr>
          <w:rFonts w:ascii="Arial" w:hAnsi="Arial"/>
          <w:b w:val="0"/>
          <w:bCs/>
          <w:sz w:val="18"/>
        </w:rPr>
      </w:pPr>
      <w:r>
        <w:rPr>
          <w:rFonts w:ascii="Arial" w:hAnsi="Arial"/>
          <w:b w:val="0"/>
          <w:bCs/>
          <w:sz w:val="18"/>
        </w:rPr>
        <w:t>County of San Bernardino</w:t>
      </w:r>
    </w:p>
    <w:p w14:paraId="53B8D86A" w14:textId="77777777" w:rsidR="003D14F7" w:rsidRDefault="00DF1778" w:rsidP="003D14F7">
      <w:pPr>
        <w:spacing w:line="240" w:lineRule="auto"/>
        <w:rPr>
          <w:rFonts w:ascii="Arial" w:hAnsi="Arial"/>
          <w:b w:val="0"/>
          <w:bCs/>
          <w:sz w:val="18"/>
        </w:rPr>
      </w:pPr>
      <w:r>
        <w:rPr>
          <w:rFonts w:ascii="Arial" w:hAnsi="Arial"/>
          <w:b w:val="0"/>
          <w:bCs/>
          <w:sz w:val="18"/>
        </w:rPr>
        <w:t>247 W. Third Street, Dept. S</w:t>
      </w:r>
      <w:r w:rsidR="00940B37">
        <w:rPr>
          <w:rFonts w:ascii="Arial" w:hAnsi="Arial"/>
          <w:b w:val="0"/>
          <w:bCs/>
          <w:sz w:val="18"/>
        </w:rPr>
        <w:t>-26</w:t>
      </w:r>
    </w:p>
    <w:p w14:paraId="53B8D86B" w14:textId="77777777" w:rsidR="003D14F7" w:rsidRDefault="003D14F7" w:rsidP="003D14F7">
      <w:pPr>
        <w:spacing w:line="240" w:lineRule="auto"/>
        <w:rPr>
          <w:rFonts w:ascii="Arial" w:hAnsi="Arial"/>
          <w:b w:val="0"/>
          <w:bCs/>
          <w:sz w:val="18"/>
        </w:rPr>
      </w:pPr>
      <w:r>
        <w:rPr>
          <w:rFonts w:ascii="Arial" w:hAnsi="Arial"/>
          <w:b w:val="0"/>
          <w:bCs/>
          <w:sz w:val="18"/>
        </w:rPr>
        <w:t>San Bernardino, CA  92415-0210</w:t>
      </w:r>
    </w:p>
    <w:p w14:paraId="53B8D86C" w14:textId="77777777" w:rsidR="003D14F7" w:rsidRDefault="003D14F7" w:rsidP="003D14F7">
      <w:pPr>
        <w:jc w:val="center"/>
        <w:rPr>
          <w:rFonts w:ascii="Arial" w:hAnsi="Arial"/>
          <w:b w:val="0"/>
          <w:bCs/>
        </w:rPr>
      </w:pPr>
    </w:p>
    <w:p w14:paraId="53B8D86D" w14:textId="77777777" w:rsidR="003D14F7" w:rsidRDefault="003D14F7" w:rsidP="003D14F7">
      <w:pPr>
        <w:jc w:val="center"/>
        <w:rPr>
          <w:rFonts w:ascii="Arial" w:hAnsi="Arial"/>
          <w:b w:val="0"/>
          <w:bCs/>
        </w:rPr>
      </w:pPr>
    </w:p>
    <w:p w14:paraId="53B8D86E" w14:textId="77777777" w:rsidR="003D14F7" w:rsidRDefault="003D14F7" w:rsidP="003D14F7">
      <w:pPr>
        <w:jc w:val="center"/>
        <w:rPr>
          <w:rFonts w:ascii="Arial" w:hAnsi="Arial"/>
          <w:b w:val="0"/>
          <w:bCs/>
        </w:rPr>
      </w:pPr>
    </w:p>
    <w:p w14:paraId="53B8D86F" w14:textId="1A412924" w:rsidR="003D14F7" w:rsidRDefault="003D14F7" w:rsidP="003D14F7">
      <w:pPr>
        <w:jc w:val="center"/>
        <w:rPr>
          <w:rFonts w:ascii="Arial" w:hAnsi="Arial"/>
          <w:b w:val="0"/>
          <w:bCs/>
        </w:rPr>
      </w:pPr>
    </w:p>
    <w:p w14:paraId="50D41B13" w14:textId="77777777" w:rsidR="0050250C" w:rsidRDefault="0050250C" w:rsidP="003D14F7">
      <w:pPr>
        <w:jc w:val="center"/>
        <w:rPr>
          <w:rFonts w:ascii="Arial" w:hAnsi="Arial"/>
          <w:b w:val="0"/>
          <w:bCs/>
        </w:rPr>
      </w:pPr>
    </w:p>
    <w:p w14:paraId="53B8D870" w14:textId="77777777" w:rsidR="003D14F7" w:rsidRDefault="003D14F7" w:rsidP="003D14F7">
      <w:pPr>
        <w:jc w:val="center"/>
        <w:rPr>
          <w:rFonts w:ascii="Arial" w:hAnsi="Arial"/>
          <w:b w:val="0"/>
          <w:bCs/>
        </w:rPr>
      </w:pPr>
      <w:r>
        <w:rPr>
          <w:rFonts w:ascii="Arial" w:hAnsi="Arial"/>
          <w:b w:val="0"/>
          <w:bCs/>
        </w:rPr>
        <w:t xml:space="preserve">SUPERIOR </w:t>
      </w:r>
      <w:r w:rsidR="002647C5">
        <w:rPr>
          <w:rFonts w:ascii="Arial" w:hAnsi="Arial"/>
          <w:b w:val="0"/>
          <w:bCs/>
        </w:rPr>
        <w:t xml:space="preserve">COURT </w:t>
      </w:r>
      <w:r>
        <w:rPr>
          <w:rFonts w:ascii="Arial" w:hAnsi="Arial"/>
          <w:b w:val="0"/>
          <w:bCs/>
        </w:rPr>
        <w:t>OF CALIFORNIA</w:t>
      </w:r>
    </w:p>
    <w:p w14:paraId="53B8D871" w14:textId="77777777" w:rsidR="003D14F7" w:rsidRDefault="003D14F7" w:rsidP="003D14F7">
      <w:pPr>
        <w:jc w:val="center"/>
        <w:rPr>
          <w:rFonts w:ascii="Arial" w:hAnsi="Arial"/>
          <w:b w:val="0"/>
          <w:bCs/>
        </w:rPr>
      </w:pPr>
      <w:r>
        <w:rPr>
          <w:rFonts w:ascii="Arial" w:hAnsi="Arial"/>
          <w:b w:val="0"/>
          <w:bCs/>
        </w:rPr>
        <w:t>COUNTY OF SAN BERNARDINO, SAN BERNARDINO DISTRICT</w:t>
      </w:r>
    </w:p>
    <w:p w14:paraId="53B8D872" w14:textId="77777777" w:rsidR="003D14F7" w:rsidRDefault="003D14F7" w:rsidP="003D14F7">
      <w:pPr>
        <w:jc w:val="center"/>
        <w:rPr>
          <w:rFonts w:ascii="Arial" w:hAnsi="Arial"/>
          <w:b w:val="0"/>
          <w:bCs/>
        </w:rPr>
      </w:pPr>
    </w:p>
    <w:tbl>
      <w:tblPr>
        <w:tblW w:w="0" w:type="auto"/>
        <w:tblInd w:w="98" w:type="dxa"/>
        <w:tblLayout w:type="fixed"/>
        <w:tblCellMar>
          <w:left w:w="0" w:type="dxa"/>
          <w:right w:w="0" w:type="dxa"/>
        </w:tblCellMar>
        <w:tblLook w:val="0000" w:firstRow="0" w:lastRow="0" w:firstColumn="0" w:lastColumn="0" w:noHBand="0" w:noVBand="0"/>
      </w:tblPr>
      <w:tblGrid>
        <w:gridCol w:w="4452"/>
        <w:gridCol w:w="276"/>
        <w:gridCol w:w="4542"/>
      </w:tblGrid>
      <w:tr w:rsidR="003D14F7" w14:paraId="53B8D8A0" w14:textId="77777777" w:rsidTr="005418C6">
        <w:trPr>
          <w:trHeight w:val="4320"/>
        </w:trPr>
        <w:tc>
          <w:tcPr>
            <w:tcW w:w="4452" w:type="dxa"/>
            <w:tcBorders>
              <w:bottom w:val="single" w:sz="4" w:space="0" w:color="auto"/>
            </w:tcBorders>
          </w:tcPr>
          <w:bookmarkStart w:id="1" w:name="Parties" w:displacedByCustomXml="next"/>
          <w:bookmarkEnd w:id="1" w:displacedByCustomXml="next"/>
          <w:sdt>
            <w:sdtPr>
              <w:rPr>
                <w:rFonts w:ascii="Arial" w:hAnsi="Arial"/>
                <w:b w:val="0"/>
                <w:bCs/>
              </w:rPr>
              <w:id w:val="-1570647676"/>
              <w:placeholder>
                <w:docPart w:val="DefaultPlaceholder_-1854013440"/>
              </w:placeholder>
              <w:showingPlcHdr/>
              <w:text/>
            </w:sdtPr>
            <w:sdtEndPr/>
            <w:sdtContent>
              <w:p w14:paraId="45A85E9B" w14:textId="3CD9C3A1" w:rsidR="004B7755" w:rsidRDefault="00537B84" w:rsidP="00F41A00">
                <w:pPr>
                  <w:tabs>
                    <w:tab w:val="left" w:pos="1660"/>
                  </w:tabs>
                  <w:spacing w:line="240" w:lineRule="auto"/>
                  <w:rPr>
                    <w:rFonts w:ascii="Arial" w:hAnsi="Arial"/>
                    <w:b w:val="0"/>
                    <w:bCs/>
                  </w:rPr>
                </w:pPr>
                <w:r w:rsidRPr="00D90597">
                  <w:rPr>
                    <w:rStyle w:val="PlaceholderText"/>
                    <w:rFonts w:eastAsiaTheme="minorHAnsi"/>
                  </w:rPr>
                  <w:t>Click or tap here to enter text.</w:t>
                </w:r>
              </w:p>
            </w:sdtContent>
          </w:sdt>
          <w:p w14:paraId="3FA7BFB7" w14:textId="7905ABFB" w:rsidR="004B7755" w:rsidRDefault="004B7755" w:rsidP="005418C6">
            <w:pPr>
              <w:tabs>
                <w:tab w:val="left" w:pos="1660"/>
              </w:tabs>
              <w:spacing w:line="240" w:lineRule="auto"/>
              <w:rPr>
                <w:rFonts w:ascii="Arial" w:hAnsi="Arial"/>
                <w:b w:val="0"/>
                <w:bCs/>
              </w:rPr>
            </w:pPr>
          </w:p>
          <w:p w14:paraId="6284045C" w14:textId="660FC59B" w:rsidR="004B7755" w:rsidRDefault="004B7755" w:rsidP="004B7755">
            <w:pPr>
              <w:tabs>
                <w:tab w:val="left" w:pos="1660"/>
              </w:tabs>
              <w:spacing w:line="240" w:lineRule="auto"/>
              <w:jc w:val="center"/>
              <w:rPr>
                <w:rFonts w:ascii="Arial" w:hAnsi="Arial"/>
                <w:b w:val="0"/>
                <w:bCs/>
              </w:rPr>
            </w:pPr>
          </w:p>
          <w:p w14:paraId="061CB7F5" w14:textId="77777777" w:rsidR="004B7755" w:rsidRDefault="004B7755" w:rsidP="004B7755">
            <w:pPr>
              <w:tabs>
                <w:tab w:val="left" w:pos="1660"/>
              </w:tabs>
              <w:spacing w:line="240" w:lineRule="auto"/>
              <w:rPr>
                <w:rFonts w:ascii="Arial" w:hAnsi="Arial"/>
                <w:b w:val="0"/>
                <w:bCs/>
              </w:rPr>
            </w:pPr>
          </w:p>
          <w:p w14:paraId="01797DD2" w14:textId="77777777" w:rsidR="00F151CA" w:rsidRDefault="004B7755" w:rsidP="00F41A00">
            <w:pPr>
              <w:tabs>
                <w:tab w:val="left" w:pos="1660"/>
              </w:tabs>
              <w:spacing w:line="240" w:lineRule="auto"/>
              <w:rPr>
                <w:rFonts w:ascii="Arial" w:hAnsi="Arial"/>
                <w:b w:val="0"/>
                <w:bCs/>
              </w:rPr>
            </w:pPr>
            <w:r>
              <w:rPr>
                <w:rFonts w:ascii="Arial" w:hAnsi="Arial"/>
                <w:b w:val="0"/>
                <w:bCs/>
              </w:rPr>
              <w:t xml:space="preserve">             vs.</w:t>
            </w:r>
          </w:p>
          <w:p w14:paraId="4689AC7C" w14:textId="77777777" w:rsidR="004B7755" w:rsidRDefault="004B7755" w:rsidP="00F41A00">
            <w:pPr>
              <w:tabs>
                <w:tab w:val="left" w:pos="1660"/>
              </w:tabs>
              <w:spacing w:line="240" w:lineRule="auto"/>
              <w:rPr>
                <w:rFonts w:ascii="Arial" w:hAnsi="Arial"/>
                <w:b w:val="0"/>
                <w:bCs/>
              </w:rPr>
            </w:pPr>
          </w:p>
          <w:p w14:paraId="7B993F2A" w14:textId="23FB57BA" w:rsidR="004B7755" w:rsidRPr="00EC4F17" w:rsidRDefault="004B7755" w:rsidP="00F41A00">
            <w:pPr>
              <w:tabs>
                <w:tab w:val="left" w:pos="1660"/>
              </w:tabs>
              <w:spacing w:line="240" w:lineRule="auto"/>
              <w:rPr>
                <w:rFonts w:ascii="Arial" w:hAnsi="Arial"/>
                <w:b w:val="0"/>
                <w:bCs/>
              </w:rPr>
            </w:pPr>
          </w:p>
          <w:p w14:paraId="3871CBBF" w14:textId="77777777" w:rsidR="004B7755" w:rsidRDefault="004B7755" w:rsidP="00F41A00">
            <w:pPr>
              <w:tabs>
                <w:tab w:val="left" w:pos="1660"/>
              </w:tabs>
              <w:spacing w:line="240" w:lineRule="auto"/>
              <w:rPr>
                <w:rFonts w:ascii="Arial" w:hAnsi="Arial"/>
                <w:b w:val="0"/>
                <w:bCs/>
              </w:rPr>
            </w:pPr>
          </w:p>
          <w:sdt>
            <w:sdtPr>
              <w:rPr>
                <w:rFonts w:ascii="Arial" w:hAnsi="Arial"/>
                <w:b w:val="0"/>
                <w:bCs/>
              </w:rPr>
              <w:id w:val="-1877842477"/>
              <w:placeholder>
                <w:docPart w:val="DefaultPlaceholder_-1854013440"/>
              </w:placeholder>
              <w:showingPlcHdr/>
              <w:text/>
            </w:sdtPr>
            <w:sdtEndPr/>
            <w:sdtContent>
              <w:p w14:paraId="53B8D87C" w14:textId="3902319F" w:rsidR="00537B84" w:rsidRDefault="00537B84" w:rsidP="00537B84">
                <w:pPr>
                  <w:tabs>
                    <w:tab w:val="left" w:pos="1660"/>
                  </w:tabs>
                  <w:spacing w:line="240" w:lineRule="auto"/>
                  <w:rPr>
                    <w:rFonts w:ascii="Arial" w:hAnsi="Arial"/>
                    <w:b w:val="0"/>
                    <w:bCs/>
                  </w:rPr>
                </w:pPr>
                <w:r w:rsidRPr="00D90597">
                  <w:rPr>
                    <w:rStyle w:val="PlaceholderText"/>
                    <w:rFonts w:eastAsiaTheme="minorHAnsi"/>
                  </w:rPr>
                  <w:t>Click or tap here to enter text.</w:t>
                </w:r>
              </w:p>
            </w:sdtContent>
          </w:sdt>
        </w:tc>
        <w:tc>
          <w:tcPr>
            <w:tcW w:w="276" w:type="dxa"/>
          </w:tcPr>
          <w:p w14:paraId="53B8D87D" w14:textId="77777777" w:rsidR="003D14F7" w:rsidRDefault="003D14F7" w:rsidP="00F41A00">
            <w:pPr>
              <w:pStyle w:val="SingleSpacing"/>
              <w:rPr>
                <w:rFonts w:ascii="Arial" w:hAnsi="Arial"/>
                <w:b w:val="0"/>
                <w:bCs/>
              </w:rPr>
            </w:pPr>
            <w:r>
              <w:rPr>
                <w:rFonts w:ascii="Arial" w:hAnsi="Arial"/>
                <w:b w:val="0"/>
                <w:bCs/>
              </w:rPr>
              <w:t>)</w:t>
            </w:r>
          </w:p>
          <w:p w14:paraId="53B8D87E" w14:textId="77777777" w:rsidR="003D14F7" w:rsidRDefault="003D14F7" w:rsidP="00F41A00">
            <w:pPr>
              <w:pStyle w:val="SingleSpacing"/>
              <w:rPr>
                <w:rFonts w:ascii="Arial" w:hAnsi="Arial"/>
                <w:b w:val="0"/>
                <w:bCs/>
              </w:rPr>
            </w:pPr>
            <w:r>
              <w:rPr>
                <w:rFonts w:ascii="Arial" w:hAnsi="Arial"/>
                <w:b w:val="0"/>
                <w:bCs/>
              </w:rPr>
              <w:t>)</w:t>
            </w:r>
          </w:p>
          <w:p w14:paraId="53B8D87F" w14:textId="77777777" w:rsidR="003D14F7" w:rsidRDefault="003D14F7" w:rsidP="00F41A00">
            <w:pPr>
              <w:pStyle w:val="SingleSpacing"/>
              <w:rPr>
                <w:rFonts w:ascii="Arial" w:hAnsi="Arial"/>
                <w:b w:val="0"/>
                <w:bCs/>
              </w:rPr>
            </w:pPr>
            <w:r>
              <w:rPr>
                <w:rFonts w:ascii="Arial" w:hAnsi="Arial"/>
                <w:b w:val="0"/>
                <w:bCs/>
              </w:rPr>
              <w:t>)</w:t>
            </w:r>
          </w:p>
          <w:p w14:paraId="53B8D880" w14:textId="77777777" w:rsidR="003D14F7" w:rsidRDefault="003D14F7" w:rsidP="00F41A00">
            <w:pPr>
              <w:pStyle w:val="SingleSpacing"/>
              <w:rPr>
                <w:rFonts w:ascii="Arial" w:hAnsi="Arial"/>
                <w:b w:val="0"/>
                <w:bCs/>
              </w:rPr>
            </w:pPr>
            <w:r>
              <w:rPr>
                <w:rFonts w:ascii="Arial" w:hAnsi="Arial"/>
                <w:b w:val="0"/>
                <w:bCs/>
              </w:rPr>
              <w:t>)</w:t>
            </w:r>
          </w:p>
          <w:p w14:paraId="53B8D881" w14:textId="77777777" w:rsidR="003D14F7" w:rsidRDefault="003D14F7" w:rsidP="00F41A00">
            <w:pPr>
              <w:pStyle w:val="SingleSpacing"/>
              <w:rPr>
                <w:rFonts w:ascii="Arial" w:hAnsi="Arial"/>
                <w:b w:val="0"/>
                <w:bCs/>
              </w:rPr>
            </w:pPr>
            <w:r>
              <w:rPr>
                <w:rFonts w:ascii="Arial" w:hAnsi="Arial"/>
                <w:b w:val="0"/>
                <w:bCs/>
              </w:rPr>
              <w:t>)</w:t>
            </w:r>
          </w:p>
          <w:p w14:paraId="53B8D882" w14:textId="77777777" w:rsidR="003D14F7" w:rsidRDefault="003D14F7" w:rsidP="00F41A00">
            <w:pPr>
              <w:pStyle w:val="SingleSpacing"/>
              <w:rPr>
                <w:rFonts w:ascii="Arial" w:hAnsi="Arial"/>
                <w:b w:val="0"/>
                <w:bCs/>
              </w:rPr>
            </w:pPr>
            <w:r>
              <w:rPr>
                <w:rFonts w:ascii="Arial" w:hAnsi="Arial"/>
                <w:b w:val="0"/>
                <w:bCs/>
              </w:rPr>
              <w:t>)</w:t>
            </w:r>
          </w:p>
          <w:p w14:paraId="53B8D883" w14:textId="77777777" w:rsidR="003D14F7" w:rsidRDefault="003D14F7" w:rsidP="00F41A00">
            <w:pPr>
              <w:pStyle w:val="SingleSpacing"/>
              <w:rPr>
                <w:rFonts w:ascii="Arial" w:hAnsi="Arial"/>
                <w:b w:val="0"/>
                <w:bCs/>
              </w:rPr>
            </w:pPr>
            <w:r>
              <w:rPr>
                <w:rFonts w:ascii="Arial" w:hAnsi="Arial"/>
                <w:b w:val="0"/>
                <w:bCs/>
              </w:rPr>
              <w:t>)</w:t>
            </w:r>
          </w:p>
          <w:p w14:paraId="53B8D884" w14:textId="77777777" w:rsidR="003D14F7" w:rsidRDefault="003D14F7" w:rsidP="00F41A00">
            <w:pPr>
              <w:pStyle w:val="SingleSpacing"/>
              <w:rPr>
                <w:rFonts w:ascii="Arial" w:hAnsi="Arial"/>
                <w:b w:val="0"/>
                <w:bCs/>
              </w:rPr>
            </w:pPr>
            <w:r>
              <w:rPr>
                <w:rFonts w:ascii="Arial" w:hAnsi="Arial"/>
                <w:b w:val="0"/>
                <w:bCs/>
              </w:rPr>
              <w:t>)</w:t>
            </w:r>
          </w:p>
          <w:p w14:paraId="53B8D885" w14:textId="77777777" w:rsidR="003D14F7" w:rsidRDefault="003D14F7" w:rsidP="00F41A00">
            <w:pPr>
              <w:pStyle w:val="SingleSpacing"/>
              <w:rPr>
                <w:rFonts w:ascii="Arial" w:hAnsi="Arial"/>
                <w:b w:val="0"/>
                <w:bCs/>
              </w:rPr>
            </w:pPr>
            <w:r>
              <w:rPr>
                <w:rFonts w:ascii="Arial" w:hAnsi="Arial"/>
                <w:b w:val="0"/>
                <w:bCs/>
              </w:rPr>
              <w:t>)</w:t>
            </w:r>
          </w:p>
          <w:p w14:paraId="53B8D886" w14:textId="77777777" w:rsidR="003D14F7" w:rsidRDefault="003D14F7" w:rsidP="00F41A00">
            <w:pPr>
              <w:pStyle w:val="SingleSpacing"/>
              <w:rPr>
                <w:rFonts w:ascii="Arial" w:hAnsi="Arial"/>
                <w:b w:val="0"/>
                <w:bCs/>
              </w:rPr>
            </w:pPr>
            <w:r>
              <w:rPr>
                <w:rFonts w:ascii="Arial" w:hAnsi="Arial"/>
                <w:b w:val="0"/>
                <w:bCs/>
              </w:rPr>
              <w:t>)</w:t>
            </w:r>
            <w:r>
              <w:rPr>
                <w:rFonts w:ascii="Arial" w:hAnsi="Arial"/>
                <w:b w:val="0"/>
                <w:bCs/>
              </w:rPr>
              <w:br/>
              <w:t>)</w:t>
            </w:r>
          </w:p>
          <w:p w14:paraId="53B8D887" w14:textId="77777777" w:rsidR="00C611DB" w:rsidRDefault="00C611DB" w:rsidP="00C611DB">
            <w:pPr>
              <w:pStyle w:val="SingleSpacing"/>
              <w:rPr>
                <w:rFonts w:ascii="Arial" w:hAnsi="Arial"/>
                <w:b w:val="0"/>
                <w:bCs/>
              </w:rPr>
            </w:pPr>
            <w:r>
              <w:rPr>
                <w:rFonts w:ascii="Arial" w:hAnsi="Arial"/>
                <w:b w:val="0"/>
                <w:bCs/>
              </w:rPr>
              <w:t>)</w:t>
            </w:r>
          </w:p>
          <w:p w14:paraId="53B8D888" w14:textId="77777777" w:rsidR="00B23B20" w:rsidRDefault="00B23B20" w:rsidP="00C611DB">
            <w:pPr>
              <w:pStyle w:val="SingleSpacing"/>
              <w:rPr>
                <w:rFonts w:ascii="Arial" w:hAnsi="Arial"/>
                <w:b w:val="0"/>
                <w:bCs/>
              </w:rPr>
            </w:pPr>
            <w:r>
              <w:rPr>
                <w:rFonts w:ascii="Arial" w:hAnsi="Arial"/>
                <w:b w:val="0"/>
                <w:bCs/>
              </w:rPr>
              <w:t>)</w:t>
            </w:r>
          </w:p>
          <w:p w14:paraId="53B8D889" w14:textId="77777777" w:rsidR="00B23B20" w:rsidRDefault="00B23B20" w:rsidP="00C611DB">
            <w:pPr>
              <w:pStyle w:val="SingleSpacing"/>
              <w:rPr>
                <w:rFonts w:ascii="Arial" w:hAnsi="Arial"/>
                <w:b w:val="0"/>
                <w:bCs/>
              </w:rPr>
            </w:pPr>
            <w:r>
              <w:rPr>
                <w:rFonts w:ascii="Arial" w:hAnsi="Arial"/>
                <w:b w:val="0"/>
                <w:bCs/>
              </w:rPr>
              <w:t>)</w:t>
            </w:r>
          </w:p>
          <w:p w14:paraId="53B8D88A" w14:textId="77777777" w:rsidR="00C611DB" w:rsidRDefault="00C611DB" w:rsidP="00C611DB">
            <w:pPr>
              <w:pStyle w:val="SingleSpacing"/>
              <w:rPr>
                <w:rFonts w:ascii="Arial" w:hAnsi="Arial"/>
                <w:b w:val="0"/>
                <w:bCs/>
              </w:rPr>
            </w:pPr>
            <w:r>
              <w:rPr>
                <w:rFonts w:ascii="Arial" w:hAnsi="Arial"/>
                <w:b w:val="0"/>
                <w:bCs/>
              </w:rPr>
              <w:t>)</w:t>
            </w:r>
          </w:p>
          <w:p w14:paraId="53B8D88B" w14:textId="77777777" w:rsidR="00F461EA" w:rsidRDefault="00B23B20" w:rsidP="00F461EA">
            <w:pPr>
              <w:pStyle w:val="SingleSpacing"/>
              <w:rPr>
                <w:rFonts w:ascii="Arial" w:hAnsi="Arial"/>
                <w:b w:val="0"/>
                <w:bCs/>
              </w:rPr>
            </w:pPr>
            <w:r>
              <w:rPr>
                <w:rFonts w:ascii="Arial" w:hAnsi="Arial"/>
                <w:b w:val="0"/>
                <w:bCs/>
              </w:rPr>
              <w:t>)</w:t>
            </w:r>
          </w:p>
          <w:p w14:paraId="53B8D88C" w14:textId="77777777" w:rsidR="005E79F8" w:rsidRDefault="005E79F8" w:rsidP="005E79F8">
            <w:pPr>
              <w:pStyle w:val="SingleSpacing"/>
              <w:rPr>
                <w:rFonts w:ascii="Arial" w:hAnsi="Arial"/>
                <w:b w:val="0"/>
                <w:bCs/>
              </w:rPr>
            </w:pPr>
            <w:r>
              <w:rPr>
                <w:rFonts w:ascii="Arial" w:hAnsi="Arial"/>
                <w:b w:val="0"/>
                <w:bCs/>
              </w:rPr>
              <w:t>)</w:t>
            </w:r>
          </w:p>
          <w:p w14:paraId="53B8D88D" w14:textId="77777777" w:rsidR="005E79F8" w:rsidRDefault="005E79F8" w:rsidP="005E79F8">
            <w:pPr>
              <w:pStyle w:val="SingleSpacing"/>
              <w:rPr>
                <w:rFonts w:ascii="Arial" w:hAnsi="Arial"/>
                <w:b w:val="0"/>
                <w:bCs/>
              </w:rPr>
            </w:pPr>
            <w:r>
              <w:rPr>
                <w:rFonts w:ascii="Arial" w:hAnsi="Arial"/>
                <w:b w:val="0"/>
                <w:bCs/>
              </w:rPr>
              <w:t>)</w:t>
            </w:r>
          </w:p>
          <w:p w14:paraId="53B8D88E" w14:textId="77777777" w:rsidR="005E79F8" w:rsidRDefault="005E79F8" w:rsidP="005E79F8">
            <w:pPr>
              <w:pStyle w:val="SingleSpacing"/>
              <w:rPr>
                <w:rFonts w:ascii="Arial" w:hAnsi="Arial"/>
                <w:b w:val="0"/>
                <w:bCs/>
              </w:rPr>
            </w:pPr>
            <w:r>
              <w:rPr>
                <w:rFonts w:ascii="Arial" w:hAnsi="Arial"/>
                <w:b w:val="0"/>
                <w:bCs/>
              </w:rPr>
              <w:t>)</w:t>
            </w:r>
          </w:p>
          <w:p w14:paraId="53B8D88F" w14:textId="77777777" w:rsidR="005E79F8" w:rsidRDefault="005E79F8" w:rsidP="005E79F8">
            <w:pPr>
              <w:pStyle w:val="SingleSpacing"/>
              <w:rPr>
                <w:rFonts w:ascii="Arial" w:hAnsi="Arial"/>
                <w:b w:val="0"/>
                <w:bCs/>
              </w:rPr>
            </w:pPr>
            <w:r>
              <w:rPr>
                <w:rFonts w:ascii="Arial" w:hAnsi="Arial"/>
                <w:b w:val="0"/>
                <w:bCs/>
              </w:rPr>
              <w:t>)</w:t>
            </w:r>
          </w:p>
        </w:tc>
        <w:tc>
          <w:tcPr>
            <w:tcW w:w="4542" w:type="dxa"/>
          </w:tcPr>
          <w:p w14:paraId="53B8D891" w14:textId="71D62E79" w:rsidR="003D14F7" w:rsidRDefault="00AA634A" w:rsidP="00F461EA">
            <w:pPr>
              <w:pStyle w:val="SingleSpacing"/>
              <w:rPr>
                <w:rFonts w:ascii="Arial" w:hAnsi="Arial"/>
                <w:b w:val="0"/>
                <w:bCs/>
              </w:rPr>
            </w:pPr>
            <w:bookmarkStart w:id="2" w:name="CaseNumber"/>
            <w:bookmarkEnd w:id="2"/>
            <w:r>
              <w:rPr>
                <w:rFonts w:ascii="Arial" w:hAnsi="Arial"/>
                <w:b w:val="0"/>
                <w:bCs/>
              </w:rPr>
              <w:t xml:space="preserve">Case No.: </w:t>
            </w:r>
            <w:r w:rsidR="005418C6">
              <w:rPr>
                <w:rFonts w:ascii="Arial" w:hAnsi="Arial"/>
                <w:b w:val="0"/>
                <w:bCs/>
              </w:rPr>
              <w:t>CIVDS</w:t>
            </w:r>
            <w:sdt>
              <w:sdtPr>
                <w:rPr>
                  <w:rFonts w:ascii="Arial" w:hAnsi="Arial"/>
                  <w:b w:val="0"/>
                  <w:bCs/>
                </w:rPr>
                <w:id w:val="-1193372645"/>
                <w:placeholder>
                  <w:docPart w:val="DefaultPlaceholder_-1854013440"/>
                </w:placeholder>
                <w:showingPlcHdr/>
                <w:text/>
              </w:sdtPr>
              <w:sdtEndPr/>
              <w:sdtContent>
                <w:r w:rsidR="00537B84" w:rsidRPr="00D90597">
                  <w:rPr>
                    <w:rStyle w:val="PlaceholderText"/>
                    <w:rFonts w:eastAsiaTheme="minorHAnsi"/>
                  </w:rPr>
                  <w:t>Click or tap here to enter text.</w:t>
                </w:r>
              </w:sdtContent>
            </w:sdt>
          </w:p>
          <w:p w14:paraId="53B8D892" w14:textId="77777777" w:rsidR="003D14F7" w:rsidRDefault="003D14F7" w:rsidP="00F461EA">
            <w:pPr>
              <w:pStyle w:val="SingleSpacing"/>
              <w:rPr>
                <w:rFonts w:ascii="Arial" w:hAnsi="Arial"/>
                <w:b w:val="0"/>
                <w:bCs/>
              </w:rPr>
            </w:pPr>
          </w:p>
          <w:p w14:paraId="53B8D893" w14:textId="77777777" w:rsidR="003D14F7" w:rsidRDefault="003D14F7" w:rsidP="00F461EA">
            <w:pPr>
              <w:pStyle w:val="SingleSpacing"/>
              <w:tabs>
                <w:tab w:val="left" w:pos="934"/>
              </w:tabs>
              <w:rPr>
                <w:rFonts w:ascii="Arial" w:hAnsi="Arial"/>
                <w:b w:val="0"/>
                <w:bCs/>
              </w:rPr>
            </w:pPr>
          </w:p>
          <w:p w14:paraId="32D5053F" w14:textId="77777777" w:rsidR="004B7755" w:rsidRDefault="004B7755" w:rsidP="00F461EA">
            <w:pPr>
              <w:pStyle w:val="SingleSpacing"/>
              <w:tabs>
                <w:tab w:val="left" w:pos="934"/>
              </w:tabs>
              <w:rPr>
                <w:rFonts w:ascii="Arial" w:hAnsi="Arial"/>
                <w:bCs/>
              </w:rPr>
            </w:pPr>
          </w:p>
          <w:p w14:paraId="0E59277B" w14:textId="77777777" w:rsidR="004B7755" w:rsidRDefault="004B7755" w:rsidP="00F461EA">
            <w:pPr>
              <w:pStyle w:val="SingleSpacing"/>
              <w:tabs>
                <w:tab w:val="left" w:pos="934"/>
              </w:tabs>
              <w:rPr>
                <w:rFonts w:ascii="Arial" w:hAnsi="Arial"/>
                <w:bCs/>
              </w:rPr>
            </w:pPr>
          </w:p>
          <w:p w14:paraId="0ADF340C" w14:textId="77777777" w:rsidR="004B7755" w:rsidRDefault="004B7755" w:rsidP="00F461EA">
            <w:pPr>
              <w:pStyle w:val="SingleSpacing"/>
              <w:tabs>
                <w:tab w:val="left" w:pos="934"/>
              </w:tabs>
              <w:rPr>
                <w:rFonts w:ascii="Arial" w:hAnsi="Arial"/>
                <w:bCs/>
              </w:rPr>
            </w:pPr>
          </w:p>
          <w:p w14:paraId="40A9A0E8" w14:textId="77777777" w:rsidR="004B7755" w:rsidRDefault="004B7755" w:rsidP="00F461EA">
            <w:pPr>
              <w:pStyle w:val="SingleSpacing"/>
              <w:tabs>
                <w:tab w:val="left" w:pos="934"/>
              </w:tabs>
              <w:rPr>
                <w:rFonts w:ascii="Arial" w:hAnsi="Arial"/>
                <w:bCs/>
              </w:rPr>
            </w:pPr>
          </w:p>
          <w:p w14:paraId="5BD39FB2" w14:textId="77777777" w:rsidR="004B7755" w:rsidRDefault="004B7755" w:rsidP="00F461EA">
            <w:pPr>
              <w:pStyle w:val="SingleSpacing"/>
              <w:tabs>
                <w:tab w:val="left" w:pos="934"/>
              </w:tabs>
              <w:rPr>
                <w:rFonts w:ascii="Arial" w:hAnsi="Arial"/>
                <w:bCs/>
              </w:rPr>
            </w:pPr>
          </w:p>
          <w:p w14:paraId="2AD9E239" w14:textId="77777777" w:rsidR="004B7755" w:rsidRDefault="004B7755" w:rsidP="00F461EA">
            <w:pPr>
              <w:pStyle w:val="SingleSpacing"/>
              <w:tabs>
                <w:tab w:val="left" w:pos="934"/>
              </w:tabs>
              <w:rPr>
                <w:rFonts w:ascii="Arial" w:hAnsi="Arial"/>
                <w:bCs/>
              </w:rPr>
            </w:pPr>
          </w:p>
          <w:p w14:paraId="53B8D895" w14:textId="0B8028C4" w:rsidR="00F461EA" w:rsidRPr="00D678EF" w:rsidRDefault="005418C6" w:rsidP="00F461EA">
            <w:pPr>
              <w:pStyle w:val="SingleSpacing"/>
              <w:tabs>
                <w:tab w:val="left" w:pos="934"/>
              </w:tabs>
              <w:rPr>
                <w:rFonts w:ascii="Arial" w:hAnsi="Arial"/>
                <w:bCs/>
              </w:rPr>
            </w:pPr>
            <w:r>
              <w:rPr>
                <w:rFonts w:ascii="Arial" w:hAnsi="Arial"/>
                <w:bCs/>
              </w:rPr>
              <w:t xml:space="preserve">INITIAL CASE MANAGEMENT CONFERENCE ORDER </w:t>
            </w:r>
          </w:p>
          <w:p w14:paraId="53B8D896" w14:textId="77777777" w:rsidR="003D14F7" w:rsidRDefault="003D14F7" w:rsidP="005E79F8">
            <w:pPr>
              <w:pStyle w:val="SingleSpacing"/>
              <w:rPr>
                <w:rFonts w:ascii="Arial" w:hAnsi="Arial"/>
                <w:b w:val="0"/>
                <w:bCs/>
              </w:rPr>
            </w:pPr>
          </w:p>
          <w:p w14:paraId="6FFBC80B" w14:textId="77777777" w:rsidR="00F151CA" w:rsidRDefault="00F151CA" w:rsidP="005E79F8">
            <w:pPr>
              <w:pStyle w:val="SingleSpacing"/>
              <w:rPr>
                <w:rFonts w:ascii="Arial" w:hAnsi="Arial"/>
                <w:b w:val="0"/>
                <w:bCs/>
              </w:rPr>
            </w:pPr>
          </w:p>
          <w:p w14:paraId="65256F4C" w14:textId="77777777" w:rsidR="00F151CA" w:rsidRDefault="00F151CA" w:rsidP="005E79F8">
            <w:pPr>
              <w:pStyle w:val="SingleSpacing"/>
              <w:rPr>
                <w:rFonts w:ascii="Arial" w:hAnsi="Arial"/>
                <w:b w:val="0"/>
                <w:bCs/>
              </w:rPr>
            </w:pPr>
          </w:p>
          <w:p w14:paraId="53B8D89A" w14:textId="77777777" w:rsidR="003D14F7" w:rsidRDefault="003D14F7" w:rsidP="00F41A00">
            <w:pPr>
              <w:pStyle w:val="SingleSpacing"/>
              <w:rPr>
                <w:rFonts w:ascii="Arial" w:hAnsi="Arial"/>
                <w:b w:val="0"/>
                <w:bCs/>
              </w:rPr>
            </w:pPr>
          </w:p>
          <w:p w14:paraId="53B8D89B" w14:textId="77777777" w:rsidR="003D14F7" w:rsidRDefault="003D14F7" w:rsidP="00F41A00">
            <w:pPr>
              <w:pStyle w:val="SingleSpacing"/>
              <w:rPr>
                <w:rFonts w:ascii="Arial" w:hAnsi="Arial"/>
                <w:b w:val="0"/>
                <w:bCs/>
              </w:rPr>
            </w:pPr>
          </w:p>
          <w:p w14:paraId="53B8D89C" w14:textId="77777777" w:rsidR="003D14F7" w:rsidRDefault="003D14F7" w:rsidP="00F41A00">
            <w:pPr>
              <w:pStyle w:val="SingleSpacing"/>
              <w:rPr>
                <w:rFonts w:ascii="Arial" w:hAnsi="Arial"/>
                <w:b w:val="0"/>
                <w:bCs/>
              </w:rPr>
            </w:pPr>
          </w:p>
          <w:p w14:paraId="53B8D89D" w14:textId="77777777" w:rsidR="003D14F7" w:rsidRDefault="003D14F7" w:rsidP="00F41A00">
            <w:pPr>
              <w:pStyle w:val="SingleSpacing"/>
              <w:rPr>
                <w:rFonts w:ascii="Arial" w:hAnsi="Arial"/>
                <w:b w:val="0"/>
                <w:bCs/>
              </w:rPr>
            </w:pPr>
          </w:p>
          <w:p w14:paraId="53B8D89E" w14:textId="77777777" w:rsidR="003D14F7" w:rsidRDefault="003D14F7" w:rsidP="00F41A00">
            <w:pPr>
              <w:pStyle w:val="SingleSpacing"/>
              <w:rPr>
                <w:rFonts w:ascii="Arial" w:hAnsi="Arial"/>
                <w:b w:val="0"/>
                <w:bCs/>
              </w:rPr>
            </w:pPr>
          </w:p>
          <w:p w14:paraId="53B8D89F" w14:textId="77777777" w:rsidR="003D14F7" w:rsidRDefault="003D14F7" w:rsidP="00F41A00">
            <w:pPr>
              <w:pStyle w:val="SingleSpacing"/>
              <w:rPr>
                <w:rFonts w:ascii="Arial" w:hAnsi="Arial"/>
                <w:b w:val="0"/>
                <w:bCs/>
              </w:rPr>
            </w:pPr>
          </w:p>
        </w:tc>
      </w:tr>
    </w:tbl>
    <w:p w14:paraId="50881FE2" w14:textId="77777777" w:rsidR="005418C6" w:rsidRDefault="005418C6" w:rsidP="00354059">
      <w:pPr>
        <w:spacing w:line="240" w:lineRule="auto"/>
        <w:rPr>
          <w:sz w:val="28"/>
          <w:szCs w:val="28"/>
        </w:rPr>
      </w:pPr>
    </w:p>
    <w:p w14:paraId="48725FFD" w14:textId="3302E97E" w:rsidR="005418C6" w:rsidRPr="00354059" w:rsidRDefault="005418C6" w:rsidP="00354059">
      <w:pPr>
        <w:spacing w:line="480" w:lineRule="auto"/>
      </w:pPr>
      <w:r>
        <w:tab/>
      </w:r>
      <w:r>
        <w:rPr>
          <w:b w:val="0"/>
        </w:rPr>
        <w:t>This case is assigned for all purposes to Judge David Cohn in the Complex Litigation Program, Department S-26, located at the San Bernardino Justice Center, 247 West Third Street, San Bernardino, California, 92415-0210.  Telephone numbers for Department S-26 are (909) 521-3519 (Judicial Assistant) and (909) 708-8866 (Court Attendant).</w:t>
      </w:r>
    </w:p>
    <w:p w14:paraId="0097D823" w14:textId="77777777" w:rsidR="005418C6" w:rsidRDefault="005418C6" w:rsidP="005418C6">
      <w:pPr>
        <w:spacing w:line="480" w:lineRule="auto"/>
        <w:jc w:val="center"/>
      </w:pPr>
    </w:p>
    <w:p w14:paraId="3027F84E" w14:textId="77777777" w:rsidR="00354059" w:rsidRDefault="00354059" w:rsidP="005418C6">
      <w:pPr>
        <w:spacing w:line="480" w:lineRule="auto"/>
        <w:jc w:val="center"/>
      </w:pPr>
    </w:p>
    <w:p w14:paraId="66D9458C" w14:textId="596E9331" w:rsidR="005418C6" w:rsidRPr="004A5ED8" w:rsidRDefault="004A5ED8" w:rsidP="005418C6">
      <w:pPr>
        <w:spacing w:line="480" w:lineRule="auto"/>
        <w:jc w:val="center"/>
        <w:rPr>
          <w:u w:val="single"/>
        </w:rPr>
      </w:pPr>
      <w:r w:rsidRPr="004A5ED8">
        <w:rPr>
          <w:u w:val="single"/>
        </w:rPr>
        <w:lastRenderedPageBreak/>
        <w:t>THE INITIAL CASE MANAGEMENT CONFERENCE</w:t>
      </w:r>
    </w:p>
    <w:p w14:paraId="384E077E" w14:textId="00B0DE3D" w:rsidR="005418C6" w:rsidRDefault="005418C6" w:rsidP="005418C6">
      <w:pPr>
        <w:spacing w:line="480" w:lineRule="auto"/>
        <w:ind w:firstLine="720"/>
        <w:rPr>
          <w:b w:val="0"/>
        </w:rPr>
      </w:pPr>
      <w:r w:rsidRPr="000249D8">
        <w:rPr>
          <w:b w:val="0"/>
        </w:rPr>
        <w:t>An initial Case Management Conference (CMC) is scheduled for ____________ at 9:00 a.m.</w:t>
      </w:r>
      <w:r w:rsidRPr="000249D8">
        <w:t xml:space="preserve">  </w:t>
      </w:r>
      <w:r w:rsidR="00F66888" w:rsidRPr="00F66888">
        <w:rPr>
          <w:b w:val="0"/>
        </w:rPr>
        <w:t>T</w:t>
      </w:r>
      <w:r>
        <w:rPr>
          <w:b w:val="0"/>
        </w:rPr>
        <w:t>he initial CMC will be conducted remotely, via CourtCall.  Contact CourtCall at (888) 882-6878 (</w:t>
      </w:r>
      <w:hyperlink r:id="rId11" w:history="1">
        <w:r w:rsidRPr="00EC6351">
          <w:rPr>
            <w:rStyle w:val="Hyperlink"/>
            <w:b w:val="0"/>
          </w:rPr>
          <w:t>www.CourtCall.com</w:t>
        </w:r>
      </w:hyperlink>
      <w:r>
        <w:rPr>
          <w:b w:val="0"/>
        </w:rPr>
        <w:t xml:space="preserve">) to schedule </w:t>
      </w:r>
      <w:r w:rsidR="00F66888">
        <w:rPr>
          <w:b w:val="0"/>
        </w:rPr>
        <w:t xml:space="preserve">your </w:t>
      </w:r>
      <w:r>
        <w:rPr>
          <w:b w:val="0"/>
        </w:rPr>
        <w:t>appearance</w:t>
      </w:r>
      <w:r w:rsidR="00F66888">
        <w:rPr>
          <w:b w:val="0"/>
        </w:rPr>
        <w:t>.</w:t>
      </w:r>
      <w:r>
        <w:rPr>
          <w:b w:val="0"/>
        </w:rPr>
        <w:t xml:space="preserve"> </w:t>
      </w:r>
      <w:r w:rsidR="00F66888">
        <w:rPr>
          <w:b w:val="0"/>
        </w:rPr>
        <w:t xml:space="preserve">CourtCall may be used for all </w:t>
      </w:r>
      <w:r w:rsidRPr="000249D8">
        <w:rPr>
          <w:b w:val="0"/>
        </w:rPr>
        <w:t>C</w:t>
      </w:r>
      <w:r w:rsidR="00624612">
        <w:rPr>
          <w:b w:val="0"/>
        </w:rPr>
        <w:t>MCs, motions, and other hearings</w:t>
      </w:r>
      <w:r w:rsidR="00F66888">
        <w:rPr>
          <w:b w:val="0"/>
        </w:rPr>
        <w:t xml:space="preserve">.  In person attendance </w:t>
      </w:r>
      <w:r w:rsidRPr="000249D8">
        <w:rPr>
          <w:b w:val="0"/>
        </w:rPr>
        <w:t>is</w:t>
      </w:r>
      <w:r w:rsidR="00F66888">
        <w:rPr>
          <w:b w:val="0"/>
        </w:rPr>
        <w:t xml:space="preserve"> not required except as specifically ordered by the court</w:t>
      </w:r>
      <w:r w:rsidRPr="000249D8">
        <w:rPr>
          <w:b w:val="0"/>
        </w:rPr>
        <w:t>.</w:t>
      </w:r>
      <w:r w:rsidRPr="000249D8">
        <w:t xml:space="preserve"> </w:t>
      </w:r>
    </w:p>
    <w:p w14:paraId="24823B60" w14:textId="77777777" w:rsidR="005418C6" w:rsidRDefault="005418C6" w:rsidP="005418C6">
      <w:pPr>
        <w:spacing w:line="480" w:lineRule="auto"/>
        <w:rPr>
          <w:b w:val="0"/>
        </w:rPr>
      </w:pPr>
      <w:r>
        <w:rPr>
          <w:b w:val="0"/>
        </w:rPr>
        <w:tab/>
        <w:t xml:space="preserve">Counsel for all parties are ordered to attend the initial CMC.  If there are defendants who have not yet made a general or special appearance, those parties who are presently before the court may jointly request a continuance of the initial CMC to allow additional time for such non-appearing defendants to make their general or special appearances.   Such a request should be made by submitting a Stipulation and Proposed Order to the Court, </w:t>
      </w:r>
      <w:r w:rsidRPr="00897B5E">
        <w:rPr>
          <w:b w:val="0"/>
        </w:rPr>
        <w:t>filed directly in Department S-26</w:t>
      </w:r>
      <w:r w:rsidRPr="000249D8">
        <w:rPr>
          <w:b w:val="0"/>
        </w:rPr>
        <w:t>, no later than five court days before the scheduled hearing.</w:t>
      </w:r>
    </w:p>
    <w:p w14:paraId="332C9A1B" w14:textId="4C92CB79" w:rsidR="005418C6" w:rsidRPr="00624612" w:rsidRDefault="00624612" w:rsidP="005418C6">
      <w:pPr>
        <w:spacing w:line="480" w:lineRule="auto"/>
        <w:jc w:val="center"/>
        <w:rPr>
          <w:u w:val="single"/>
        </w:rPr>
      </w:pPr>
      <w:r w:rsidRPr="00624612">
        <w:rPr>
          <w:u w:val="single"/>
        </w:rPr>
        <w:t>STAY OF THE PROCEEDINGS</w:t>
      </w:r>
    </w:p>
    <w:p w14:paraId="4F1890A0" w14:textId="0AB9ED03" w:rsidR="00624612" w:rsidRDefault="005418C6" w:rsidP="005418C6">
      <w:pPr>
        <w:pStyle w:val="ListParagraph"/>
        <w:spacing w:line="480" w:lineRule="auto"/>
        <w:ind w:left="0"/>
      </w:pPr>
      <w:r>
        <w:rPr>
          <w:b w:val="0"/>
        </w:rPr>
        <w:tab/>
      </w:r>
      <w:r w:rsidRPr="00624612">
        <w:t xml:space="preserve">Pending further order of this Court, and except as otherwise provided in this Order, these proceedings are stayed in their entirety.  This stay precludes the filing of </w:t>
      </w:r>
      <w:r w:rsidR="004A5ED8">
        <w:t xml:space="preserve">any </w:t>
      </w:r>
      <w:r w:rsidR="00624612">
        <w:t xml:space="preserve">amended complaint, </w:t>
      </w:r>
      <w:r w:rsidRPr="00624612">
        <w:t xml:space="preserve">answer, demurrer, motion to strike, </w:t>
      </w:r>
      <w:r w:rsidR="00F66888">
        <w:t xml:space="preserve">motion to compel arbitration, </w:t>
      </w:r>
      <w:r w:rsidRPr="00624612">
        <w:t xml:space="preserve">or motion challenging the jurisdiction of the Court.  </w:t>
      </w:r>
      <w:r w:rsidR="00624612">
        <w:t>Violation of this order may result in the imposition of monetary sanctions.</w:t>
      </w:r>
    </w:p>
    <w:p w14:paraId="74934640" w14:textId="5A563831" w:rsidR="005418C6" w:rsidRDefault="005418C6" w:rsidP="00624612">
      <w:pPr>
        <w:pStyle w:val="ListParagraph"/>
        <w:spacing w:line="480" w:lineRule="auto"/>
        <w:ind w:left="0" w:firstLine="720"/>
        <w:rPr>
          <w:b w:val="0"/>
        </w:rPr>
      </w:pPr>
      <w:r>
        <w:rPr>
          <w:b w:val="0"/>
        </w:rPr>
        <w:t xml:space="preserve">Each defendant, however, is directed to file a Notice of General Appearance (or  Notice of Special Appearance if counsel intends to challenge personal jurisdiction) for purposes of identification of counsel and preparation of a service list.  The filing of a </w:t>
      </w:r>
    </w:p>
    <w:p w14:paraId="50FAEE86" w14:textId="77777777" w:rsidR="005418C6" w:rsidRDefault="005418C6" w:rsidP="005418C6">
      <w:pPr>
        <w:pStyle w:val="ListParagraph"/>
        <w:spacing w:line="480" w:lineRule="auto"/>
        <w:ind w:left="0"/>
        <w:rPr>
          <w:b w:val="0"/>
        </w:rPr>
      </w:pPr>
      <w:r>
        <w:rPr>
          <w:b w:val="0"/>
        </w:rPr>
        <w:t xml:space="preserve">Notice of General Appearance is without prejudice to any substantive or procedural challenges to the complaint (including subject matter jurisdiction), without prejudice to </w:t>
      </w:r>
      <w:r>
        <w:rPr>
          <w:b w:val="0"/>
        </w:rPr>
        <w:lastRenderedPageBreak/>
        <w:t xml:space="preserve">any denial or affirmative defense, and without prejudice to the filing of any cross-complaint.  The filing of a Notice of Special Appearance is without prejudice to any challenge to the court’s exercise of personal jurisdiction.  This stay of the proceedings is issued to assist the court and the parties in managing this case through the development of an orderly schedule for briefing and hearings on any procedural or substantive challenges to the complaint and other issues that may assist in the orderly management of this case.  This stay shall not preclude the parties from informally exchanging documents and other information that may assist them in their initial evaluation of the issues.  </w:t>
      </w:r>
    </w:p>
    <w:p w14:paraId="459D6C76" w14:textId="2E530ECC" w:rsidR="005418C6" w:rsidRPr="00624612" w:rsidRDefault="00624612" w:rsidP="005418C6">
      <w:pPr>
        <w:pStyle w:val="ListParagraph"/>
        <w:spacing w:line="480" w:lineRule="auto"/>
        <w:ind w:left="0"/>
        <w:jc w:val="center"/>
        <w:rPr>
          <w:u w:val="single"/>
        </w:rPr>
      </w:pPr>
      <w:r w:rsidRPr="00624612">
        <w:rPr>
          <w:u w:val="single"/>
        </w:rPr>
        <w:t>SERVICE OF THIS ORDER</w:t>
      </w:r>
    </w:p>
    <w:p w14:paraId="60F27E06" w14:textId="542F6089" w:rsidR="001C7D6D" w:rsidRDefault="005418C6" w:rsidP="001C7D6D">
      <w:pPr>
        <w:pStyle w:val="ListParagraph"/>
        <w:spacing w:line="480" w:lineRule="auto"/>
        <w:ind w:left="0"/>
      </w:pPr>
      <w:r>
        <w:rPr>
          <w:b w:val="0"/>
        </w:rPr>
        <w:tab/>
      </w:r>
      <w:r w:rsidRPr="001C7D6D">
        <w:t>Plaintiffs’ counsel is ordered to serve this Order on counsel for each defendant, or, if counsel is not known, on each defendant within five days of the date of this Order.  If the complaint has not been served as the date of this Order, counsel for plaintiff is to serve the complaint along with this Order within ten days of the date of this Order.</w:t>
      </w:r>
      <w:r>
        <w:rPr>
          <w:b w:val="0"/>
        </w:rPr>
        <w:t xml:space="preserve"> </w:t>
      </w:r>
      <w:r w:rsidR="001C7D6D">
        <w:rPr>
          <w:b w:val="0"/>
        </w:rPr>
        <w:t xml:space="preserve"> </w:t>
      </w:r>
      <w:r w:rsidR="001C7D6D" w:rsidRPr="001C7D6D">
        <w:t>Failure to serve this order</w:t>
      </w:r>
      <w:r w:rsidR="001C7D6D">
        <w:rPr>
          <w:b w:val="0"/>
        </w:rPr>
        <w:t xml:space="preserve"> </w:t>
      </w:r>
      <w:r w:rsidR="001C7D6D">
        <w:t>may result in the imposition of monetary sanctions.</w:t>
      </w:r>
    </w:p>
    <w:p w14:paraId="1C004FB2" w14:textId="47F82C71" w:rsidR="005418C6" w:rsidRPr="00897B5E" w:rsidRDefault="00897B5E" w:rsidP="005418C6">
      <w:pPr>
        <w:pStyle w:val="ListParagraph"/>
        <w:spacing w:line="480" w:lineRule="auto"/>
        <w:ind w:left="0"/>
        <w:jc w:val="center"/>
        <w:rPr>
          <w:u w:val="single"/>
        </w:rPr>
      </w:pPr>
      <w:r w:rsidRPr="00897B5E">
        <w:rPr>
          <w:u w:val="single"/>
        </w:rPr>
        <w:t>AGENDA FOR THE INITIAL CASE MANAGEMENT CONFERENCE</w:t>
      </w:r>
    </w:p>
    <w:p w14:paraId="52FE0F8B" w14:textId="53E877AF" w:rsidR="005418C6" w:rsidRDefault="005418C6" w:rsidP="005418C6">
      <w:pPr>
        <w:spacing w:line="480" w:lineRule="auto"/>
        <w:rPr>
          <w:b w:val="0"/>
        </w:rPr>
      </w:pPr>
      <w:r>
        <w:rPr>
          <w:b w:val="0"/>
        </w:rPr>
        <w:tab/>
        <w:t xml:space="preserve">Counsel for all parties are ordered to meet and confer </w:t>
      </w:r>
      <w:r w:rsidRPr="000E35F7">
        <w:rPr>
          <w:b w:val="0"/>
        </w:rPr>
        <w:t>in person</w:t>
      </w:r>
      <w:r>
        <w:rPr>
          <w:b w:val="0"/>
        </w:rPr>
        <w:t xml:space="preserve"> no </w:t>
      </w:r>
      <w:r w:rsidRPr="008F4204">
        <w:rPr>
          <w:b w:val="0"/>
          <w:i/>
        </w:rPr>
        <w:t>later</w:t>
      </w:r>
      <w:r>
        <w:rPr>
          <w:b w:val="0"/>
        </w:rPr>
        <w:t xml:space="preserve"> than </w:t>
      </w:r>
      <w:r w:rsidR="008F4204">
        <w:rPr>
          <w:b w:val="0"/>
        </w:rPr>
        <w:t xml:space="preserve">fourteen </w:t>
      </w:r>
      <w:r>
        <w:rPr>
          <w:b w:val="0"/>
        </w:rPr>
        <w:t xml:space="preserve">days before the initial CMC to discuss the subjects listed below.  Counsel </w:t>
      </w:r>
    </w:p>
    <w:p w14:paraId="77A723F4" w14:textId="77777777" w:rsidR="005418C6" w:rsidRDefault="005418C6" w:rsidP="005418C6">
      <w:pPr>
        <w:spacing w:line="480" w:lineRule="auto"/>
        <w:rPr>
          <w:b w:val="0"/>
        </w:rPr>
      </w:pPr>
      <w:r>
        <w:rPr>
          <w:b w:val="0"/>
        </w:rPr>
        <w:t xml:space="preserve">must be fully prepared to discuss these subjects with the court: </w:t>
      </w:r>
    </w:p>
    <w:p w14:paraId="621B4D63" w14:textId="77777777" w:rsidR="005418C6" w:rsidRPr="00467109" w:rsidRDefault="005418C6" w:rsidP="005418C6">
      <w:pPr>
        <w:pStyle w:val="ListParagraph"/>
        <w:numPr>
          <w:ilvl w:val="0"/>
          <w:numId w:val="17"/>
        </w:numPr>
        <w:spacing w:line="480" w:lineRule="auto"/>
        <w:rPr>
          <w:b w:val="0"/>
        </w:rPr>
      </w:pPr>
      <w:r>
        <w:rPr>
          <w:b w:val="0"/>
        </w:rPr>
        <w:t>A</w:t>
      </w:r>
      <w:r w:rsidRPr="00467109">
        <w:rPr>
          <w:b w:val="0"/>
        </w:rPr>
        <w:t>ny issues of recusal or disqualification;</w:t>
      </w:r>
    </w:p>
    <w:p w14:paraId="4C74B1A5" w14:textId="614EC1A9" w:rsidR="005418C6" w:rsidRDefault="005418C6" w:rsidP="005418C6">
      <w:pPr>
        <w:pStyle w:val="ListParagraph"/>
        <w:numPr>
          <w:ilvl w:val="0"/>
          <w:numId w:val="17"/>
        </w:numPr>
        <w:spacing w:line="480" w:lineRule="auto"/>
        <w:rPr>
          <w:b w:val="0"/>
        </w:rPr>
      </w:pPr>
      <w:r>
        <w:rPr>
          <w:b w:val="0"/>
        </w:rPr>
        <w:t xml:space="preserve">Any </w:t>
      </w:r>
      <w:r w:rsidRPr="00467109">
        <w:rPr>
          <w:b w:val="0"/>
        </w:rPr>
        <w:t>potentially disposit</w:t>
      </w:r>
      <w:r>
        <w:rPr>
          <w:b w:val="0"/>
        </w:rPr>
        <w:t>i</w:t>
      </w:r>
      <w:r w:rsidRPr="00467109">
        <w:rPr>
          <w:b w:val="0"/>
        </w:rPr>
        <w:t xml:space="preserve">ve or </w:t>
      </w:r>
      <w:r>
        <w:rPr>
          <w:b w:val="0"/>
        </w:rPr>
        <w:t xml:space="preserve">important </w:t>
      </w:r>
      <w:r w:rsidRPr="00467109">
        <w:rPr>
          <w:b w:val="0"/>
        </w:rPr>
        <w:t xml:space="preserve">threshold issues </w:t>
      </w:r>
      <w:r>
        <w:rPr>
          <w:b w:val="0"/>
        </w:rPr>
        <w:t xml:space="preserve">of law or fact </w:t>
      </w:r>
      <w:r w:rsidRPr="00467109">
        <w:rPr>
          <w:b w:val="0"/>
        </w:rPr>
        <w:t xml:space="preserve">that, if considered by the </w:t>
      </w:r>
      <w:r>
        <w:rPr>
          <w:b w:val="0"/>
        </w:rPr>
        <w:t>c</w:t>
      </w:r>
      <w:r w:rsidRPr="00467109">
        <w:rPr>
          <w:b w:val="0"/>
        </w:rPr>
        <w:t xml:space="preserve">ourt, may simplify or further resolution of </w:t>
      </w:r>
      <w:r>
        <w:rPr>
          <w:b w:val="0"/>
        </w:rPr>
        <w:t xml:space="preserve">the </w:t>
      </w:r>
      <w:r w:rsidRPr="00467109">
        <w:rPr>
          <w:b w:val="0"/>
        </w:rPr>
        <w:t>case;</w:t>
      </w:r>
    </w:p>
    <w:p w14:paraId="33CFE940" w14:textId="77777777" w:rsidR="005418C6" w:rsidRDefault="005418C6" w:rsidP="005418C6">
      <w:pPr>
        <w:pStyle w:val="ListParagraph"/>
        <w:numPr>
          <w:ilvl w:val="0"/>
          <w:numId w:val="17"/>
        </w:numPr>
        <w:spacing w:line="480" w:lineRule="auto"/>
        <w:rPr>
          <w:b w:val="0"/>
        </w:rPr>
      </w:pPr>
      <w:r w:rsidRPr="002321EE">
        <w:rPr>
          <w:b w:val="0"/>
        </w:rPr>
        <w:t xml:space="preserve">Appropriate mechanisms for Alternative Dispute </w:t>
      </w:r>
      <w:r>
        <w:rPr>
          <w:b w:val="0"/>
        </w:rPr>
        <w:t>Resolution;</w:t>
      </w:r>
    </w:p>
    <w:p w14:paraId="4A33FBB7" w14:textId="77777777" w:rsidR="005418C6" w:rsidRPr="002321EE" w:rsidRDefault="005418C6" w:rsidP="005418C6">
      <w:pPr>
        <w:pStyle w:val="ListParagraph"/>
        <w:numPr>
          <w:ilvl w:val="0"/>
          <w:numId w:val="17"/>
        </w:numPr>
        <w:spacing w:line="480" w:lineRule="auto"/>
        <w:rPr>
          <w:b w:val="0"/>
        </w:rPr>
      </w:pPr>
      <w:r w:rsidRPr="002321EE">
        <w:rPr>
          <w:b w:val="0"/>
        </w:rPr>
        <w:lastRenderedPageBreak/>
        <w:t>A plan for the preservation of evidence and a uniform system for the identification of documents to be used throughout the course of this litigation, including discovery and trial;</w:t>
      </w:r>
    </w:p>
    <w:p w14:paraId="474C6F8D" w14:textId="77777777" w:rsidR="005418C6" w:rsidRDefault="005418C6" w:rsidP="005418C6">
      <w:pPr>
        <w:pStyle w:val="ListParagraph"/>
        <w:numPr>
          <w:ilvl w:val="0"/>
          <w:numId w:val="17"/>
        </w:numPr>
        <w:spacing w:line="480" w:lineRule="auto"/>
        <w:rPr>
          <w:b w:val="0"/>
        </w:rPr>
      </w:pPr>
      <w:r>
        <w:rPr>
          <w:b w:val="0"/>
        </w:rPr>
        <w:t>A discovery plan for the disclosure and production of documents and other discovery, including whether the court should order automatic disclosures, patterned on Federal Rule of Civil Procedure 26(a) or otherwise;</w:t>
      </w:r>
    </w:p>
    <w:p w14:paraId="5A60466B" w14:textId="77777777" w:rsidR="005418C6" w:rsidRDefault="005418C6" w:rsidP="005418C6">
      <w:pPr>
        <w:pStyle w:val="ListParagraph"/>
        <w:numPr>
          <w:ilvl w:val="0"/>
          <w:numId w:val="17"/>
        </w:numPr>
        <w:spacing w:line="480" w:lineRule="auto"/>
        <w:rPr>
          <w:b w:val="0"/>
        </w:rPr>
      </w:pPr>
      <w:r>
        <w:rPr>
          <w:b w:val="0"/>
        </w:rPr>
        <w:t>Whether it is advisable to conduct discovery in phases so that information needed to conduct meaningful ADR is obtained early in the case;</w:t>
      </w:r>
    </w:p>
    <w:p w14:paraId="3A7A5AAD" w14:textId="77777777" w:rsidR="005418C6" w:rsidRDefault="005418C6" w:rsidP="005418C6">
      <w:pPr>
        <w:pStyle w:val="ListParagraph"/>
        <w:numPr>
          <w:ilvl w:val="0"/>
          <w:numId w:val="17"/>
        </w:numPr>
        <w:spacing w:line="480" w:lineRule="auto"/>
        <w:rPr>
          <w:b w:val="0"/>
        </w:rPr>
      </w:pPr>
      <w:r>
        <w:rPr>
          <w:b w:val="0"/>
        </w:rPr>
        <w:t>Any issues involving the protection of evidence and confidentiality;</w:t>
      </w:r>
    </w:p>
    <w:p w14:paraId="02F57698" w14:textId="77777777" w:rsidR="005418C6" w:rsidRDefault="005418C6" w:rsidP="005418C6">
      <w:pPr>
        <w:pStyle w:val="ListParagraph"/>
        <w:numPr>
          <w:ilvl w:val="0"/>
          <w:numId w:val="17"/>
        </w:numPr>
        <w:spacing w:line="480" w:lineRule="auto"/>
        <w:rPr>
          <w:b w:val="0"/>
        </w:rPr>
      </w:pPr>
      <w:r>
        <w:rPr>
          <w:b w:val="0"/>
        </w:rPr>
        <w:t xml:space="preserve">The use and selection of an electronic service provider; </w:t>
      </w:r>
    </w:p>
    <w:p w14:paraId="1DD34D3C" w14:textId="77777777" w:rsidR="005418C6" w:rsidRDefault="005418C6" w:rsidP="005418C6">
      <w:pPr>
        <w:pStyle w:val="ListParagraph"/>
        <w:numPr>
          <w:ilvl w:val="0"/>
          <w:numId w:val="17"/>
        </w:numPr>
        <w:spacing w:line="480" w:lineRule="auto"/>
        <w:rPr>
          <w:b w:val="0"/>
        </w:rPr>
      </w:pPr>
      <w:r>
        <w:rPr>
          <w:b w:val="0"/>
        </w:rPr>
        <w:t>The handling of any potential publicity issues;</w:t>
      </w:r>
    </w:p>
    <w:p w14:paraId="4E46AA20" w14:textId="0D262286" w:rsidR="005418C6" w:rsidRDefault="001C7D6D" w:rsidP="005418C6">
      <w:pPr>
        <w:pStyle w:val="ListParagraph"/>
        <w:numPr>
          <w:ilvl w:val="0"/>
          <w:numId w:val="17"/>
        </w:numPr>
        <w:spacing w:line="480" w:lineRule="auto"/>
        <w:rPr>
          <w:b w:val="0"/>
        </w:rPr>
      </w:pPr>
      <w:r>
        <w:rPr>
          <w:b w:val="0"/>
        </w:rPr>
        <w:t xml:space="preserve"> </w:t>
      </w:r>
      <w:r w:rsidR="005418C6">
        <w:rPr>
          <w:b w:val="0"/>
        </w:rPr>
        <w:t>Any other issues counsel deem appropriate to address with the court.</w:t>
      </w:r>
    </w:p>
    <w:p w14:paraId="07F9685E" w14:textId="30BB5912" w:rsidR="005418C6" w:rsidRPr="00897B5E" w:rsidRDefault="00897B5E" w:rsidP="00897B5E">
      <w:pPr>
        <w:pStyle w:val="ListParagraph"/>
        <w:spacing w:line="480" w:lineRule="auto"/>
        <w:ind w:left="-90"/>
        <w:jc w:val="center"/>
        <w:rPr>
          <w:u w:val="single"/>
        </w:rPr>
      </w:pPr>
      <w:r w:rsidRPr="00897B5E">
        <w:rPr>
          <w:u w:val="single"/>
        </w:rPr>
        <w:t>THE JOINT REPORT</w:t>
      </w:r>
    </w:p>
    <w:p w14:paraId="0625905B" w14:textId="6F71D291" w:rsidR="005418C6" w:rsidRDefault="005418C6" w:rsidP="005418C6">
      <w:pPr>
        <w:pStyle w:val="ListParagraph"/>
        <w:spacing w:line="480" w:lineRule="auto"/>
        <w:ind w:left="0"/>
        <w:rPr>
          <w:b w:val="0"/>
        </w:rPr>
      </w:pPr>
      <w:r>
        <w:rPr>
          <w:b w:val="0"/>
        </w:rPr>
        <w:tab/>
        <w:t xml:space="preserve">Counsel are ordered to prepare a </w:t>
      </w:r>
      <w:r w:rsidRPr="00F05EFE">
        <w:rPr>
          <w:b w:val="0"/>
        </w:rPr>
        <w:t>Joint Report</w:t>
      </w:r>
      <w:r>
        <w:rPr>
          <w:b w:val="0"/>
        </w:rPr>
        <w:t xml:space="preserve"> for the initial CMC, to be </w:t>
      </w:r>
      <w:r w:rsidRPr="00897B5E">
        <w:rPr>
          <w:b w:val="0"/>
        </w:rPr>
        <w:t>filed directly in Department S-26 (not in the Clerk’s office)</w:t>
      </w:r>
      <w:r>
        <w:rPr>
          <w:b w:val="0"/>
        </w:rPr>
        <w:t xml:space="preserve">, </w:t>
      </w:r>
      <w:r w:rsidRPr="00EA1AEF">
        <w:rPr>
          <w:b w:val="0"/>
        </w:rPr>
        <w:t xml:space="preserve">no later than </w:t>
      </w:r>
      <w:r w:rsidR="008F4204">
        <w:rPr>
          <w:b w:val="0"/>
        </w:rPr>
        <w:t xml:space="preserve">ten </w:t>
      </w:r>
      <w:r w:rsidRPr="00EA1AEF">
        <w:rPr>
          <w:b w:val="0"/>
        </w:rPr>
        <w:t xml:space="preserve">days before the conference date.  </w:t>
      </w:r>
      <w:r w:rsidR="00897B5E" w:rsidRPr="008F4204">
        <w:t>Separate reports from each party are not allowed.  Judicial Council form CMC statements are not allowed.</w:t>
      </w:r>
      <w:r w:rsidR="00897B5E">
        <w:rPr>
          <w:b w:val="0"/>
        </w:rPr>
        <w:t xml:space="preserve">  </w:t>
      </w:r>
      <w:r>
        <w:rPr>
          <w:b w:val="0"/>
        </w:rPr>
        <w:t xml:space="preserve">The Joint Report must include the following: </w:t>
      </w:r>
    </w:p>
    <w:p w14:paraId="6A1F9AFE" w14:textId="77777777" w:rsidR="005418C6" w:rsidRDefault="005418C6" w:rsidP="005418C6">
      <w:pPr>
        <w:pStyle w:val="ListParagraph"/>
        <w:numPr>
          <w:ilvl w:val="0"/>
          <w:numId w:val="18"/>
        </w:numPr>
        <w:spacing w:line="480" w:lineRule="auto"/>
        <w:rPr>
          <w:b w:val="0"/>
        </w:rPr>
      </w:pPr>
      <w:r>
        <w:rPr>
          <w:b w:val="0"/>
        </w:rPr>
        <w:t>Whether the case should or should not be treated as complex;</w:t>
      </w:r>
    </w:p>
    <w:p w14:paraId="5989FB5B" w14:textId="77777777" w:rsidR="005418C6" w:rsidRDefault="005418C6" w:rsidP="005418C6">
      <w:pPr>
        <w:pStyle w:val="ListParagraph"/>
        <w:numPr>
          <w:ilvl w:val="0"/>
          <w:numId w:val="18"/>
        </w:numPr>
        <w:spacing w:line="480" w:lineRule="auto"/>
        <w:rPr>
          <w:b w:val="0"/>
        </w:rPr>
      </w:pPr>
      <w:r>
        <w:rPr>
          <w:b w:val="0"/>
        </w:rPr>
        <w:t>Whether additional parties are likely to be added and a proposed date by which all parties must be served;</w:t>
      </w:r>
    </w:p>
    <w:p w14:paraId="1D7CC048" w14:textId="77777777" w:rsidR="005418C6" w:rsidRDefault="005418C6" w:rsidP="005418C6">
      <w:pPr>
        <w:pStyle w:val="ListParagraph"/>
        <w:numPr>
          <w:ilvl w:val="0"/>
          <w:numId w:val="18"/>
        </w:numPr>
        <w:spacing w:line="480" w:lineRule="auto"/>
        <w:rPr>
          <w:b w:val="0"/>
        </w:rPr>
      </w:pPr>
      <w:r>
        <w:rPr>
          <w:b w:val="0"/>
        </w:rPr>
        <w:t xml:space="preserve">A service list (the service list should identify all primary and secondary counsel, firm names, addresses, telephone numbers, email addresses, and fax numbers for all counsel.)  </w:t>
      </w:r>
    </w:p>
    <w:p w14:paraId="55E9450D" w14:textId="44137F68" w:rsidR="005418C6" w:rsidRDefault="005418C6" w:rsidP="005418C6">
      <w:pPr>
        <w:pStyle w:val="ListParagraph"/>
        <w:numPr>
          <w:ilvl w:val="0"/>
          <w:numId w:val="18"/>
        </w:numPr>
        <w:spacing w:line="480" w:lineRule="auto"/>
        <w:rPr>
          <w:b w:val="0"/>
        </w:rPr>
      </w:pPr>
      <w:r>
        <w:rPr>
          <w:b w:val="0"/>
        </w:rPr>
        <w:lastRenderedPageBreak/>
        <w:t xml:space="preserve">Whether the court should issue an order requiring electronic service.  Counsel should advise the court regarding any preferred web-based electronic service provider; </w:t>
      </w:r>
    </w:p>
    <w:p w14:paraId="710AD4B8" w14:textId="77777777" w:rsidR="005418C6" w:rsidRDefault="005418C6" w:rsidP="005418C6">
      <w:pPr>
        <w:pStyle w:val="ListParagraph"/>
        <w:numPr>
          <w:ilvl w:val="0"/>
          <w:numId w:val="18"/>
        </w:numPr>
        <w:spacing w:line="480" w:lineRule="auto"/>
        <w:rPr>
          <w:b w:val="0"/>
        </w:rPr>
      </w:pPr>
      <w:r>
        <w:rPr>
          <w:b w:val="0"/>
        </w:rPr>
        <w:t xml:space="preserve">Whether any issues of jurisdiction or venue exist that might affect this court’s ability to proceed with this case.  </w:t>
      </w:r>
    </w:p>
    <w:p w14:paraId="478F7E3F" w14:textId="77777777" w:rsidR="005418C6" w:rsidRDefault="005418C6" w:rsidP="005418C6">
      <w:pPr>
        <w:pStyle w:val="ListParagraph"/>
        <w:numPr>
          <w:ilvl w:val="0"/>
          <w:numId w:val="18"/>
        </w:numPr>
        <w:spacing w:line="480" w:lineRule="auto"/>
        <w:rPr>
          <w:b w:val="0"/>
        </w:rPr>
      </w:pPr>
      <w:r>
        <w:rPr>
          <w:b w:val="0"/>
        </w:rPr>
        <w:t>Whether there are applicable arbitration agreements, and the parties’ views on their enforceability;</w:t>
      </w:r>
    </w:p>
    <w:p w14:paraId="66EB03D6" w14:textId="77777777" w:rsidR="005418C6" w:rsidRDefault="005418C6" w:rsidP="005418C6">
      <w:pPr>
        <w:pStyle w:val="ListParagraph"/>
        <w:numPr>
          <w:ilvl w:val="0"/>
          <w:numId w:val="18"/>
        </w:numPr>
        <w:spacing w:line="480" w:lineRule="auto"/>
        <w:rPr>
          <w:b w:val="0"/>
        </w:rPr>
      </w:pPr>
      <w:r>
        <w:rPr>
          <w:b w:val="0"/>
        </w:rPr>
        <w:t>A list of all related litigation pending in this or other courts (state and federal), a brief description of any such litigation, including the name of the judge assigned to the case, and a statement whether any additional related litigation is anticipated;</w:t>
      </w:r>
    </w:p>
    <w:p w14:paraId="60FF177C" w14:textId="77777777" w:rsidR="005418C6" w:rsidRDefault="005418C6" w:rsidP="005418C6">
      <w:pPr>
        <w:pStyle w:val="ListParagraph"/>
        <w:numPr>
          <w:ilvl w:val="0"/>
          <w:numId w:val="18"/>
        </w:numPr>
        <w:spacing w:line="480" w:lineRule="auto"/>
        <w:rPr>
          <w:b w:val="0"/>
        </w:rPr>
      </w:pPr>
      <w:r>
        <w:rPr>
          <w:b w:val="0"/>
        </w:rPr>
        <w:t>A description of the major factual and legal issues in the case.  The parties should address any contracts, statutes, or regulations on which claims or defenses are based, or which will require interpretation in adjudicating the claims and defenses;</w:t>
      </w:r>
    </w:p>
    <w:p w14:paraId="3534DBB8" w14:textId="77777777" w:rsidR="005418C6" w:rsidRDefault="005418C6" w:rsidP="005418C6">
      <w:pPr>
        <w:pStyle w:val="ListParagraph"/>
        <w:numPr>
          <w:ilvl w:val="0"/>
          <w:numId w:val="18"/>
        </w:numPr>
        <w:spacing w:line="480" w:lineRule="auto"/>
        <w:rPr>
          <w:b w:val="0"/>
        </w:rPr>
      </w:pPr>
      <w:r>
        <w:rPr>
          <w:b w:val="0"/>
        </w:rPr>
        <w:t>The parties’ tentative views on an ADR mechanism and how such mechanism might be integrated into the course of the litigation;</w:t>
      </w:r>
    </w:p>
    <w:p w14:paraId="47DDFC5B" w14:textId="77777777" w:rsidR="005418C6" w:rsidRDefault="005418C6" w:rsidP="005418C6">
      <w:pPr>
        <w:pStyle w:val="ListParagraph"/>
        <w:numPr>
          <w:ilvl w:val="0"/>
          <w:numId w:val="18"/>
        </w:numPr>
        <w:spacing w:line="480" w:lineRule="auto"/>
        <w:rPr>
          <w:b w:val="0"/>
        </w:rPr>
      </w:pPr>
      <w:r>
        <w:rPr>
          <w:b w:val="0"/>
        </w:rPr>
        <w:t xml:space="preserve">A discovery plan, including the time need to conduct discovery and whether discovery should be conducted in phases or limited (and, if so, the order of phasing or types of limitations).  With respect to the </w:t>
      </w:r>
      <w:r w:rsidRPr="00521075">
        <w:rPr>
          <w:b w:val="0"/>
        </w:rPr>
        <w:t xml:space="preserve">discovery of electronically </w:t>
      </w:r>
    </w:p>
    <w:p w14:paraId="2A271915" w14:textId="77777777" w:rsidR="005418C6" w:rsidRDefault="005418C6" w:rsidP="005418C6">
      <w:pPr>
        <w:pStyle w:val="ListParagraph"/>
        <w:spacing w:line="480" w:lineRule="auto"/>
        <w:rPr>
          <w:b w:val="0"/>
        </w:rPr>
      </w:pPr>
      <w:r w:rsidRPr="00521075">
        <w:rPr>
          <w:b w:val="0"/>
        </w:rPr>
        <w:t>stored information (ESI</w:t>
      </w:r>
      <w:r>
        <w:rPr>
          <w:b w:val="0"/>
        </w:rPr>
        <w:t xml:space="preserve"> ), the plan should include:</w:t>
      </w:r>
    </w:p>
    <w:p w14:paraId="38FA154B" w14:textId="77777777" w:rsidR="005418C6" w:rsidRPr="00F71CA6" w:rsidRDefault="005418C6" w:rsidP="005418C6">
      <w:pPr>
        <w:pStyle w:val="ListParagraph"/>
        <w:numPr>
          <w:ilvl w:val="1"/>
          <w:numId w:val="18"/>
        </w:numPr>
        <w:spacing w:line="480" w:lineRule="auto"/>
        <w:rPr>
          <w:b w:val="0"/>
        </w:rPr>
      </w:pPr>
      <w:r>
        <w:rPr>
          <w:b w:val="0"/>
        </w:rPr>
        <w:t>Identification of t</w:t>
      </w:r>
      <w:r w:rsidRPr="00F71CA6">
        <w:rPr>
          <w:b w:val="0"/>
        </w:rPr>
        <w:t xml:space="preserve">he Information Management Systems </w:t>
      </w:r>
      <w:r>
        <w:rPr>
          <w:b w:val="0"/>
        </w:rPr>
        <w:t xml:space="preserve">used </w:t>
      </w:r>
      <w:r w:rsidRPr="00F71CA6">
        <w:rPr>
          <w:b w:val="0"/>
        </w:rPr>
        <w:t xml:space="preserve">by the parties; </w:t>
      </w:r>
    </w:p>
    <w:p w14:paraId="6D0FAFD7" w14:textId="77777777" w:rsidR="005418C6" w:rsidRDefault="005418C6" w:rsidP="005418C6">
      <w:pPr>
        <w:pStyle w:val="ListParagraph"/>
        <w:numPr>
          <w:ilvl w:val="1"/>
          <w:numId w:val="18"/>
        </w:numPr>
        <w:spacing w:line="480" w:lineRule="auto"/>
        <w:rPr>
          <w:b w:val="0"/>
        </w:rPr>
      </w:pPr>
      <w:r>
        <w:rPr>
          <w:b w:val="0"/>
        </w:rPr>
        <w:lastRenderedPageBreak/>
        <w:t xml:space="preserve">The location and custodians of information that is likely to be subject to production (including the identification of network and email servers and hard-drives maintained by custodians); </w:t>
      </w:r>
    </w:p>
    <w:p w14:paraId="0DD9C3E5" w14:textId="77777777" w:rsidR="005418C6" w:rsidRDefault="005418C6" w:rsidP="005418C6">
      <w:pPr>
        <w:pStyle w:val="ListParagraph"/>
        <w:numPr>
          <w:ilvl w:val="1"/>
          <w:numId w:val="18"/>
        </w:numPr>
        <w:spacing w:line="480" w:lineRule="auto"/>
        <w:rPr>
          <w:b w:val="0"/>
        </w:rPr>
      </w:pPr>
      <w:r>
        <w:rPr>
          <w:b w:val="0"/>
        </w:rPr>
        <w:t xml:space="preserve">The types of ESI that will be requested and produced, e.g. data files, emails, etc.; </w:t>
      </w:r>
    </w:p>
    <w:p w14:paraId="763CD42C" w14:textId="77777777" w:rsidR="005418C6" w:rsidRDefault="005418C6" w:rsidP="005418C6">
      <w:pPr>
        <w:pStyle w:val="ListParagraph"/>
        <w:numPr>
          <w:ilvl w:val="1"/>
          <w:numId w:val="18"/>
        </w:numPr>
        <w:spacing w:line="480" w:lineRule="auto"/>
        <w:rPr>
          <w:b w:val="0"/>
        </w:rPr>
      </w:pPr>
      <w:r>
        <w:rPr>
          <w:b w:val="0"/>
        </w:rPr>
        <w:t xml:space="preserve">The format in which ESI will be produced; </w:t>
      </w:r>
    </w:p>
    <w:p w14:paraId="16A48DBA" w14:textId="77777777" w:rsidR="005418C6" w:rsidRDefault="005418C6" w:rsidP="005418C6">
      <w:pPr>
        <w:pStyle w:val="ListParagraph"/>
        <w:numPr>
          <w:ilvl w:val="1"/>
          <w:numId w:val="18"/>
        </w:numPr>
        <w:spacing w:line="480" w:lineRule="auto"/>
        <w:rPr>
          <w:b w:val="0"/>
        </w:rPr>
      </w:pPr>
      <w:r>
        <w:rPr>
          <w:b w:val="0"/>
        </w:rPr>
        <w:t>Appropriate search criteria for focused requests.</w:t>
      </w:r>
    </w:p>
    <w:p w14:paraId="41DDE838" w14:textId="77777777" w:rsidR="005418C6" w:rsidRPr="00F67EBB" w:rsidRDefault="005418C6" w:rsidP="005418C6">
      <w:pPr>
        <w:pStyle w:val="ListParagraph"/>
        <w:numPr>
          <w:ilvl w:val="1"/>
          <w:numId w:val="18"/>
        </w:numPr>
        <w:spacing w:line="480" w:lineRule="auto"/>
        <w:rPr>
          <w:b w:val="0"/>
        </w:rPr>
      </w:pPr>
      <w:r>
        <w:rPr>
          <w:b w:val="0"/>
        </w:rPr>
        <w:t>A statement whether t</w:t>
      </w:r>
      <w:r w:rsidRPr="00521075">
        <w:rPr>
          <w:b w:val="0"/>
        </w:rPr>
        <w:t xml:space="preserve">he parties </w:t>
      </w:r>
      <w:r>
        <w:rPr>
          <w:b w:val="0"/>
        </w:rPr>
        <w:t xml:space="preserve">will allow </w:t>
      </w:r>
      <w:r w:rsidRPr="00521075">
        <w:rPr>
          <w:b w:val="0"/>
        </w:rPr>
        <w:t xml:space="preserve">their respective IT consultants or employees </w:t>
      </w:r>
      <w:r>
        <w:rPr>
          <w:b w:val="0"/>
        </w:rPr>
        <w:t xml:space="preserve">to </w:t>
      </w:r>
      <w:r w:rsidRPr="00521075">
        <w:rPr>
          <w:b w:val="0"/>
        </w:rPr>
        <w:t xml:space="preserve">participate </w:t>
      </w:r>
      <w:r>
        <w:rPr>
          <w:b w:val="0"/>
        </w:rPr>
        <w:t xml:space="preserve">directly </w:t>
      </w:r>
      <w:r w:rsidRPr="00521075">
        <w:rPr>
          <w:b w:val="0"/>
        </w:rPr>
        <w:t xml:space="preserve">in the meet and confer process.    </w:t>
      </w:r>
    </w:p>
    <w:p w14:paraId="79228967" w14:textId="77777777" w:rsidR="005418C6" w:rsidRDefault="005418C6" w:rsidP="005418C6">
      <w:pPr>
        <w:pStyle w:val="ListParagraph"/>
        <w:numPr>
          <w:ilvl w:val="0"/>
          <w:numId w:val="18"/>
        </w:numPr>
        <w:spacing w:line="480" w:lineRule="auto"/>
        <w:rPr>
          <w:b w:val="0"/>
        </w:rPr>
      </w:pPr>
      <w:r>
        <w:rPr>
          <w:b w:val="0"/>
        </w:rPr>
        <w:t xml:space="preserve">  Whether the parties will stipulate that discovery stays or other stays entered by the court for case management purposes will be excluded in determining the statutory period for bringing the case to trial under Code of Civil Procedure Section 583.310 (the Five Year Rule).</w:t>
      </w:r>
    </w:p>
    <w:p w14:paraId="3CFE2530" w14:textId="77777777" w:rsidR="005418C6" w:rsidRDefault="005418C6" w:rsidP="005418C6">
      <w:pPr>
        <w:pStyle w:val="ListParagraph"/>
        <w:numPr>
          <w:ilvl w:val="0"/>
          <w:numId w:val="18"/>
        </w:numPr>
        <w:spacing w:line="480" w:lineRule="auto"/>
        <w:rPr>
          <w:b w:val="0"/>
        </w:rPr>
      </w:pPr>
      <w:r w:rsidRPr="00F71CA6">
        <w:rPr>
          <w:b w:val="0"/>
        </w:rPr>
        <w:t xml:space="preserve"> Recommended dates and times for the following:  </w:t>
      </w:r>
    </w:p>
    <w:p w14:paraId="7CE56425" w14:textId="1E1AAF9F" w:rsidR="005418C6" w:rsidRDefault="005418C6" w:rsidP="005418C6">
      <w:pPr>
        <w:pStyle w:val="ListParagraph"/>
        <w:numPr>
          <w:ilvl w:val="1"/>
          <w:numId w:val="18"/>
        </w:numPr>
        <w:spacing w:line="480" w:lineRule="auto"/>
        <w:rPr>
          <w:b w:val="0"/>
        </w:rPr>
      </w:pPr>
      <w:r w:rsidRPr="00F71CA6">
        <w:rPr>
          <w:b w:val="0"/>
        </w:rPr>
        <w:t>The next CMC</w:t>
      </w:r>
      <w:r w:rsidR="008F4204">
        <w:rPr>
          <w:b w:val="0"/>
        </w:rPr>
        <w:t xml:space="preserve"> (absent special circumstances, the court typically schedules the next CMC approximately six months out)</w:t>
      </w:r>
      <w:r w:rsidRPr="00F71CA6">
        <w:rPr>
          <w:b w:val="0"/>
        </w:rPr>
        <w:t>;</w:t>
      </w:r>
    </w:p>
    <w:p w14:paraId="073FEB1D" w14:textId="77777777" w:rsidR="005418C6" w:rsidRDefault="005418C6" w:rsidP="005418C6">
      <w:pPr>
        <w:pStyle w:val="ListParagraph"/>
        <w:numPr>
          <w:ilvl w:val="1"/>
          <w:numId w:val="18"/>
        </w:numPr>
        <w:spacing w:line="480" w:lineRule="auto"/>
        <w:rPr>
          <w:b w:val="0"/>
        </w:rPr>
      </w:pPr>
      <w:r w:rsidRPr="00F71CA6">
        <w:rPr>
          <w:b w:val="0"/>
        </w:rPr>
        <w:t>A schedule for any contemplated ADR;</w:t>
      </w:r>
    </w:p>
    <w:p w14:paraId="3A2B5AD4" w14:textId="77777777" w:rsidR="005418C6" w:rsidRDefault="005418C6" w:rsidP="005418C6">
      <w:pPr>
        <w:pStyle w:val="ListParagraph"/>
        <w:numPr>
          <w:ilvl w:val="1"/>
          <w:numId w:val="18"/>
        </w:numPr>
        <w:spacing w:line="480" w:lineRule="auto"/>
        <w:rPr>
          <w:b w:val="0"/>
        </w:rPr>
      </w:pPr>
      <w:r w:rsidRPr="00F71CA6">
        <w:rPr>
          <w:b w:val="0"/>
        </w:rPr>
        <w:t xml:space="preserve">A filing deadline (and proposed briefing schedule) for any anticipated </w:t>
      </w:r>
      <w:r w:rsidRPr="00F71CA6">
        <w:rPr>
          <w:b w:val="0"/>
        </w:rPr>
        <w:tab/>
        <w:t xml:space="preserve">    non-discovery motions.  </w:t>
      </w:r>
    </w:p>
    <w:p w14:paraId="2C483FB3" w14:textId="77777777" w:rsidR="005418C6" w:rsidRPr="00F71CA6" w:rsidRDefault="005418C6" w:rsidP="005418C6">
      <w:pPr>
        <w:pStyle w:val="ListParagraph"/>
        <w:numPr>
          <w:ilvl w:val="1"/>
          <w:numId w:val="18"/>
        </w:numPr>
        <w:spacing w:line="480" w:lineRule="auto"/>
        <w:rPr>
          <w:b w:val="0"/>
        </w:rPr>
      </w:pPr>
      <w:r>
        <w:rPr>
          <w:b w:val="0"/>
        </w:rPr>
        <w:t>With respect to class actions, the parties’ tentative views on an appropriate deadline for a class certification motion to be filed.</w:t>
      </w:r>
    </w:p>
    <w:p w14:paraId="6AC070D8" w14:textId="77777777" w:rsidR="005418C6" w:rsidRDefault="005418C6" w:rsidP="005418C6">
      <w:pPr>
        <w:pStyle w:val="ListParagraph"/>
        <w:spacing w:line="480" w:lineRule="auto"/>
        <w:ind w:left="0"/>
        <w:rPr>
          <w:b w:val="0"/>
        </w:rPr>
      </w:pPr>
      <w:r>
        <w:rPr>
          <w:b w:val="0"/>
        </w:rPr>
        <w:tab/>
        <w:t xml:space="preserve">To the extent the parties are unable to agree on any matter to be addressed in the Joint Report, the positions of each party or of various parties should be set forth separately.  The parties are encouraged to propose, either jointly or separately, any </w:t>
      </w:r>
    </w:p>
    <w:p w14:paraId="73B5FEDC" w14:textId="77777777" w:rsidR="005418C6" w:rsidRDefault="005418C6" w:rsidP="005418C6">
      <w:pPr>
        <w:pStyle w:val="ListParagraph"/>
        <w:spacing w:line="480" w:lineRule="auto"/>
        <w:ind w:left="0"/>
        <w:rPr>
          <w:b w:val="0"/>
        </w:rPr>
      </w:pPr>
      <w:r>
        <w:rPr>
          <w:b w:val="0"/>
        </w:rPr>
        <w:lastRenderedPageBreak/>
        <w:t xml:space="preserve">approaches to case management that they believe will promote the fair and efficient handling of this case.  </w:t>
      </w:r>
    </w:p>
    <w:p w14:paraId="27FF2972" w14:textId="14940D3D" w:rsidR="005418C6" w:rsidRDefault="005418C6" w:rsidP="005418C6">
      <w:pPr>
        <w:pStyle w:val="ListParagraph"/>
        <w:spacing w:line="480" w:lineRule="auto"/>
        <w:ind w:left="0"/>
        <w:rPr>
          <w:b w:val="0"/>
        </w:rPr>
      </w:pPr>
      <w:r>
        <w:rPr>
          <w:b w:val="0"/>
        </w:rPr>
        <w:tab/>
        <w:t>Any stipulations to continue conferences or other hearings throughout this litigation must be filed with the court</w:t>
      </w:r>
      <w:r w:rsidRPr="00EF58BE">
        <w:rPr>
          <w:b w:val="0"/>
        </w:rPr>
        <w:t xml:space="preserve"> </w:t>
      </w:r>
      <w:r w:rsidRPr="00E57882">
        <w:rPr>
          <w:b w:val="0"/>
        </w:rPr>
        <w:t>directly in Department S-26</w:t>
      </w:r>
      <w:r>
        <w:rPr>
          <w:b w:val="0"/>
        </w:rPr>
        <w:t xml:space="preserve"> (not in the Clerk’s office), </w:t>
      </w:r>
      <w:r w:rsidRPr="00E57882">
        <w:rPr>
          <w:b w:val="0"/>
        </w:rPr>
        <w:t xml:space="preserve">no later than </w:t>
      </w:r>
      <w:r w:rsidR="008F4204">
        <w:rPr>
          <w:b w:val="0"/>
        </w:rPr>
        <w:t xml:space="preserve">five </w:t>
      </w:r>
      <w:r w:rsidRPr="00E57882">
        <w:rPr>
          <w:b w:val="0"/>
        </w:rPr>
        <w:t>court days before the conference or hearing date.</w:t>
      </w:r>
      <w:r>
        <w:rPr>
          <w:b w:val="0"/>
        </w:rPr>
        <w:t xml:space="preserve">  </w:t>
      </w:r>
    </w:p>
    <w:p w14:paraId="02E5C712" w14:textId="54BD836B" w:rsidR="005418C6" w:rsidRPr="00897B5E" w:rsidRDefault="00897B5E" w:rsidP="005418C6">
      <w:pPr>
        <w:pStyle w:val="ListParagraph"/>
        <w:spacing w:line="480" w:lineRule="auto"/>
        <w:ind w:left="0"/>
        <w:jc w:val="center"/>
        <w:rPr>
          <w:u w:val="single"/>
        </w:rPr>
      </w:pPr>
      <w:r w:rsidRPr="00897B5E">
        <w:rPr>
          <w:u w:val="single"/>
        </w:rPr>
        <w:t>INFORMAL DISCOVERY CONFERENCES</w:t>
      </w:r>
    </w:p>
    <w:p w14:paraId="4412AA0C" w14:textId="77777777" w:rsidR="005418C6" w:rsidRDefault="005418C6" w:rsidP="005418C6">
      <w:pPr>
        <w:spacing w:line="480" w:lineRule="auto"/>
        <w:rPr>
          <w:b w:val="0"/>
        </w:rPr>
      </w:pPr>
      <w:r w:rsidRPr="00A87860">
        <w:rPr>
          <w:b w:val="0"/>
        </w:rPr>
        <w:tab/>
        <w:t>Motions concerning discovery cannot be filed without first requesting an informa</w:t>
      </w:r>
      <w:r>
        <w:rPr>
          <w:b w:val="0"/>
        </w:rPr>
        <w:t>l</w:t>
      </w:r>
      <w:r w:rsidRPr="00A87860">
        <w:rPr>
          <w:b w:val="0"/>
        </w:rPr>
        <w:t xml:space="preserve"> discovery conference </w:t>
      </w:r>
      <w:r>
        <w:rPr>
          <w:b w:val="0"/>
        </w:rPr>
        <w:t xml:space="preserve">(IDC) </w:t>
      </w:r>
      <w:r w:rsidRPr="00A87860">
        <w:rPr>
          <w:b w:val="0"/>
        </w:rPr>
        <w:t xml:space="preserve">with the court.  </w:t>
      </w:r>
      <w:r>
        <w:rPr>
          <w:b w:val="0"/>
        </w:rPr>
        <w:t xml:space="preserve">Making a </w:t>
      </w:r>
      <w:r w:rsidRPr="00A87860">
        <w:rPr>
          <w:b w:val="0"/>
        </w:rPr>
        <w:t>request for a</w:t>
      </w:r>
      <w:r>
        <w:rPr>
          <w:b w:val="0"/>
        </w:rPr>
        <w:t>n IDC aut</w:t>
      </w:r>
      <w:r w:rsidRPr="00A87860">
        <w:rPr>
          <w:b w:val="0"/>
        </w:rPr>
        <w:t>omatically s</w:t>
      </w:r>
      <w:r>
        <w:rPr>
          <w:b w:val="0"/>
        </w:rPr>
        <w:t>t</w:t>
      </w:r>
      <w:r w:rsidRPr="00A87860">
        <w:rPr>
          <w:b w:val="0"/>
        </w:rPr>
        <w:t>ays the deadline for filing any such motio</w:t>
      </w:r>
      <w:r>
        <w:rPr>
          <w:b w:val="0"/>
        </w:rPr>
        <w:t xml:space="preserve">n.  IDCs are conducted remotely, via the </w:t>
      </w:r>
    </w:p>
    <w:p w14:paraId="1B126428" w14:textId="75D54E71" w:rsidR="005418C6" w:rsidRDefault="005418C6" w:rsidP="005418C6">
      <w:pPr>
        <w:spacing w:line="480" w:lineRule="auto"/>
        <w:rPr>
          <w:b w:val="0"/>
        </w:rPr>
      </w:pPr>
      <w:r>
        <w:rPr>
          <w:b w:val="0"/>
        </w:rPr>
        <w:t xml:space="preserve">BlueJeans Video Conferencing program.  Attendees will need to download the BlueJeans program (available from the app stores for IOS or Android) to a computer, laptop, tablet, or smartphone.  If the device being used does not have camera capability, the BlueJeans application offers an audio-only option.  Video appearance at the IDC, however, is encouraged.  The Court will provide a link to join the conference at the appointed time.  Please provide Department S-26’s Judicial Assistant ((909) 521-3519) or Court Attendant ((909) 708-8866) with an e-mail address.  No briefing is required for the IDC, but counsel </w:t>
      </w:r>
      <w:r w:rsidR="008F4204">
        <w:rPr>
          <w:b w:val="0"/>
        </w:rPr>
        <w:t xml:space="preserve">(either jointly or separately) </w:t>
      </w:r>
      <w:r>
        <w:rPr>
          <w:b w:val="0"/>
        </w:rPr>
        <w:t xml:space="preserve">should lodge (not file) </w:t>
      </w:r>
      <w:r w:rsidR="00920730">
        <w:rPr>
          <w:b w:val="0"/>
        </w:rPr>
        <w:t xml:space="preserve">a one page statement of the issues in dispute </w:t>
      </w:r>
      <w:r>
        <w:rPr>
          <w:b w:val="0"/>
        </w:rPr>
        <w:t xml:space="preserve">in Department S-26 </w:t>
      </w:r>
      <w:r w:rsidR="00245853">
        <w:rPr>
          <w:b w:val="0"/>
        </w:rPr>
        <w:t xml:space="preserve">no later than the day before </w:t>
      </w:r>
      <w:r>
        <w:rPr>
          <w:b w:val="0"/>
        </w:rPr>
        <w:t xml:space="preserve">the IDC.  </w:t>
      </w:r>
    </w:p>
    <w:p w14:paraId="2B581FBB" w14:textId="77777777" w:rsidR="00386898" w:rsidRDefault="00386898" w:rsidP="00184292">
      <w:pPr>
        <w:pStyle w:val="NoSpacing"/>
        <w:spacing w:line="455" w:lineRule="exact"/>
        <w:ind w:firstLine="720"/>
        <w:rPr>
          <w:rFonts w:ascii="Arial" w:hAnsi="Arial" w:cs="Arial"/>
          <w:sz w:val="24"/>
          <w:szCs w:val="24"/>
        </w:rPr>
      </w:pPr>
    </w:p>
    <w:p w14:paraId="53B8D8A2" w14:textId="64EC70F6" w:rsidR="008C343D" w:rsidRDefault="00EC4F17" w:rsidP="00386898">
      <w:pPr>
        <w:pStyle w:val="NoSpacing"/>
        <w:spacing w:line="455" w:lineRule="exact"/>
        <w:rPr>
          <w:rFonts w:ascii="Arial" w:hAnsi="Arial" w:cs="Arial"/>
          <w:sz w:val="24"/>
          <w:szCs w:val="24"/>
        </w:rPr>
      </w:pPr>
      <w:r>
        <w:rPr>
          <w:rFonts w:ascii="Arial" w:hAnsi="Arial" w:cs="Arial"/>
          <w:sz w:val="24"/>
          <w:szCs w:val="24"/>
        </w:rPr>
        <w:t>Dated: ___________________</w:t>
      </w:r>
      <w:r w:rsidR="004B7755">
        <w:rPr>
          <w:rFonts w:ascii="Arial" w:hAnsi="Arial" w:cs="Arial"/>
          <w:sz w:val="24"/>
          <w:szCs w:val="24"/>
        </w:rPr>
        <w:t xml:space="preserve"> </w:t>
      </w:r>
      <w:r w:rsidR="00F151CA">
        <w:rPr>
          <w:rFonts w:ascii="Arial" w:hAnsi="Arial" w:cs="Arial"/>
          <w:sz w:val="24"/>
          <w:szCs w:val="24"/>
        </w:rPr>
        <w:t>, 202</w:t>
      </w:r>
      <w:r w:rsidR="00897B5E">
        <w:rPr>
          <w:rFonts w:ascii="Arial" w:hAnsi="Arial" w:cs="Arial"/>
          <w:sz w:val="24"/>
          <w:szCs w:val="24"/>
        </w:rPr>
        <w:t>1</w:t>
      </w:r>
      <w:r w:rsidR="007C12D9">
        <w:rPr>
          <w:rFonts w:ascii="Arial" w:hAnsi="Arial" w:cs="Arial"/>
          <w:sz w:val="24"/>
          <w:szCs w:val="24"/>
        </w:rPr>
        <w:t>.</w:t>
      </w:r>
    </w:p>
    <w:p w14:paraId="53B8D8A3" w14:textId="77777777" w:rsidR="005E68F6" w:rsidRPr="00934C09" w:rsidRDefault="005E68F6" w:rsidP="00184292">
      <w:pPr>
        <w:pStyle w:val="NoSpacing"/>
        <w:spacing w:line="455" w:lineRule="exact"/>
        <w:ind w:firstLine="720"/>
        <w:rPr>
          <w:rFonts w:ascii="Arial" w:hAnsi="Arial" w:cs="Arial"/>
          <w:sz w:val="24"/>
          <w:szCs w:val="24"/>
        </w:rPr>
      </w:pPr>
    </w:p>
    <w:p w14:paraId="53B8D8A4" w14:textId="10695E7D" w:rsidR="003D14F7" w:rsidRPr="00A74EDE" w:rsidRDefault="005E68F6" w:rsidP="00386898">
      <w:pPr>
        <w:spacing w:line="240" w:lineRule="auto"/>
        <w:rPr>
          <w:rFonts w:ascii="Arial" w:hAnsi="Arial" w:cs="Arial"/>
          <w:b w:val="0"/>
          <w:szCs w:val="24"/>
        </w:rPr>
      </w:pPr>
      <w:r>
        <w:rPr>
          <w:rFonts w:ascii="Arial" w:hAnsi="Arial" w:cs="Arial"/>
          <w:b w:val="0"/>
          <w:szCs w:val="24"/>
        </w:rPr>
        <w:t xml:space="preserve">     </w:t>
      </w:r>
      <w:r w:rsidR="00697864" w:rsidRPr="00A74EDE">
        <w:rPr>
          <w:rFonts w:ascii="Arial" w:hAnsi="Arial" w:cs="Arial"/>
          <w:b w:val="0"/>
          <w:szCs w:val="24"/>
        </w:rPr>
        <w:tab/>
      </w:r>
      <w:r w:rsidR="00697864" w:rsidRPr="00A74EDE">
        <w:rPr>
          <w:rFonts w:ascii="Arial" w:hAnsi="Arial" w:cs="Arial"/>
          <w:b w:val="0"/>
          <w:szCs w:val="24"/>
        </w:rPr>
        <w:tab/>
      </w:r>
      <w:r w:rsidR="00697864" w:rsidRPr="00A74EDE">
        <w:rPr>
          <w:rFonts w:ascii="Arial" w:hAnsi="Arial" w:cs="Arial"/>
          <w:b w:val="0"/>
          <w:szCs w:val="24"/>
        </w:rPr>
        <w:tab/>
      </w:r>
      <w:r w:rsidR="00697864" w:rsidRPr="00A74EDE">
        <w:rPr>
          <w:rFonts w:ascii="Arial" w:hAnsi="Arial" w:cs="Arial"/>
          <w:b w:val="0"/>
          <w:szCs w:val="24"/>
        </w:rPr>
        <w:tab/>
      </w:r>
      <w:r w:rsidR="00697864" w:rsidRPr="00A74EDE">
        <w:rPr>
          <w:rFonts w:ascii="Arial" w:hAnsi="Arial" w:cs="Arial"/>
          <w:b w:val="0"/>
          <w:szCs w:val="24"/>
        </w:rPr>
        <w:tab/>
      </w:r>
      <w:r w:rsidR="00697864" w:rsidRPr="00A74EDE">
        <w:rPr>
          <w:rFonts w:ascii="Arial" w:hAnsi="Arial" w:cs="Arial"/>
          <w:b w:val="0"/>
          <w:szCs w:val="24"/>
        </w:rPr>
        <w:tab/>
      </w:r>
      <w:r w:rsidR="00697864" w:rsidRPr="00A74EDE">
        <w:rPr>
          <w:rFonts w:ascii="Arial" w:hAnsi="Arial" w:cs="Arial"/>
          <w:b w:val="0"/>
          <w:szCs w:val="24"/>
        </w:rPr>
        <w:tab/>
      </w:r>
      <w:r w:rsidR="003D14F7" w:rsidRPr="00A74EDE">
        <w:rPr>
          <w:rFonts w:ascii="Arial" w:hAnsi="Arial" w:cs="Arial"/>
          <w:b w:val="0"/>
          <w:szCs w:val="24"/>
        </w:rPr>
        <w:t>_____</w:t>
      </w:r>
      <w:r w:rsidR="006D35BD" w:rsidRPr="00A74EDE">
        <w:rPr>
          <w:rFonts w:ascii="Arial" w:hAnsi="Arial" w:cs="Arial"/>
          <w:b w:val="0"/>
          <w:szCs w:val="24"/>
        </w:rPr>
        <w:t>__________________</w:t>
      </w:r>
      <w:r w:rsidR="00F65D91" w:rsidRPr="00A74EDE">
        <w:rPr>
          <w:rFonts w:ascii="Arial" w:hAnsi="Arial" w:cs="Arial"/>
          <w:b w:val="0"/>
          <w:szCs w:val="24"/>
        </w:rPr>
        <w:t>___</w:t>
      </w:r>
      <w:r w:rsidR="003D14F7" w:rsidRPr="00A74EDE">
        <w:rPr>
          <w:rFonts w:ascii="Arial" w:hAnsi="Arial" w:cs="Arial"/>
          <w:b w:val="0"/>
          <w:szCs w:val="24"/>
        </w:rPr>
        <w:br/>
      </w:r>
      <w:r w:rsidR="00A50B71">
        <w:rPr>
          <w:rFonts w:ascii="Arial" w:hAnsi="Arial" w:cs="Arial"/>
          <w:b w:val="0"/>
          <w:szCs w:val="24"/>
        </w:rPr>
        <w:tab/>
      </w:r>
      <w:r w:rsidR="00A50B71">
        <w:rPr>
          <w:rFonts w:ascii="Arial" w:hAnsi="Arial" w:cs="Arial"/>
          <w:b w:val="0"/>
          <w:szCs w:val="24"/>
        </w:rPr>
        <w:tab/>
      </w:r>
      <w:r w:rsidR="00A50B71">
        <w:rPr>
          <w:rFonts w:ascii="Arial" w:hAnsi="Arial" w:cs="Arial"/>
          <w:b w:val="0"/>
          <w:szCs w:val="24"/>
        </w:rPr>
        <w:tab/>
      </w:r>
      <w:r w:rsidR="00A50B71">
        <w:rPr>
          <w:rFonts w:ascii="Arial" w:hAnsi="Arial" w:cs="Arial"/>
          <w:b w:val="0"/>
          <w:szCs w:val="24"/>
        </w:rPr>
        <w:tab/>
      </w:r>
      <w:r w:rsidR="00A50B71">
        <w:rPr>
          <w:rFonts w:ascii="Arial" w:hAnsi="Arial" w:cs="Arial"/>
          <w:b w:val="0"/>
          <w:szCs w:val="24"/>
        </w:rPr>
        <w:tab/>
      </w:r>
      <w:r w:rsidR="00A50B71">
        <w:rPr>
          <w:rFonts w:ascii="Arial" w:hAnsi="Arial" w:cs="Arial"/>
          <w:b w:val="0"/>
          <w:szCs w:val="24"/>
        </w:rPr>
        <w:tab/>
      </w:r>
      <w:r w:rsidR="00A50B71">
        <w:rPr>
          <w:rFonts w:ascii="Arial" w:hAnsi="Arial" w:cs="Arial"/>
          <w:b w:val="0"/>
          <w:szCs w:val="24"/>
        </w:rPr>
        <w:tab/>
      </w:r>
      <w:r w:rsidR="00386898">
        <w:rPr>
          <w:rFonts w:ascii="Arial" w:hAnsi="Arial" w:cs="Arial"/>
          <w:b w:val="0"/>
          <w:szCs w:val="24"/>
        </w:rPr>
        <w:t xml:space="preserve"> </w:t>
      </w:r>
      <w:r w:rsidR="00A50B71">
        <w:rPr>
          <w:rFonts w:ascii="Arial" w:hAnsi="Arial" w:cs="Arial"/>
          <w:b w:val="0"/>
          <w:szCs w:val="24"/>
        </w:rPr>
        <w:t>David Cohn</w:t>
      </w:r>
      <w:r w:rsidR="00F461EA" w:rsidRPr="00A74EDE">
        <w:rPr>
          <w:rFonts w:ascii="Arial" w:hAnsi="Arial" w:cs="Arial"/>
          <w:b w:val="0"/>
          <w:szCs w:val="24"/>
        </w:rPr>
        <w:t xml:space="preserve">, </w:t>
      </w:r>
    </w:p>
    <w:p w14:paraId="53B8D8A5" w14:textId="06A0257B" w:rsidR="00484B6E" w:rsidRDefault="00697864" w:rsidP="00386898">
      <w:pPr>
        <w:spacing w:line="240" w:lineRule="auto"/>
        <w:rPr>
          <w:rFonts w:ascii="Arial" w:hAnsi="Arial" w:cs="Arial"/>
          <w:b w:val="0"/>
          <w:szCs w:val="24"/>
        </w:rPr>
      </w:pPr>
      <w:r w:rsidRPr="00A74EDE">
        <w:rPr>
          <w:rFonts w:ascii="Arial" w:hAnsi="Arial" w:cs="Arial"/>
          <w:b w:val="0"/>
          <w:szCs w:val="24"/>
        </w:rPr>
        <w:tab/>
      </w:r>
      <w:r w:rsidRPr="00A74EDE">
        <w:rPr>
          <w:rFonts w:ascii="Arial" w:hAnsi="Arial" w:cs="Arial"/>
          <w:b w:val="0"/>
          <w:szCs w:val="24"/>
        </w:rPr>
        <w:tab/>
      </w:r>
      <w:r w:rsidRPr="00A74EDE">
        <w:rPr>
          <w:rFonts w:ascii="Arial" w:hAnsi="Arial" w:cs="Arial"/>
          <w:b w:val="0"/>
          <w:szCs w:val="24"/>
        </w:rPr>
        <w:tab/>
      </w:r>
      <w:r w:rsidRPr="00A74EDE">
        <w:rPr>
          <w:rFonts w:ascii="Arial" w:hAnsi="Arial" w:cs="Arial"/>
          <w:b w:val="0"/>
          <w:szCs w:val="24"/>
        </w:rPr>
        <w:tab/>
      </w:r>
      <w:r w:rsidR="005E68F6">
        <w:rPr>
          <w:rFonts w:ascii="Arial" w:hAnsi="Arial" w:cs="Arial"/>
          <w:b w:val="0"/>
          <w:szCs w:val="24"/>
        </w:rPr>
        <w:tab/>
      </w:r>
      <w:r w:rsidR="005E68F6">
        <w:rPr>
          <w:rFonts w:ascii="Arial" w:hAnsi="Arial" w:cs="Arial"/>
          <w:b w:val="0"/>
          <w:szCs w:val="24"/>
        </w:rPr>
        <w:tab/>
      </w:r>
      <w:r w:rsidR="005E68F6">
        <w:rPr>
          <w:rFonts w:ascii="Arial" w:hAnsi="Arial" w:cs="Arial"/>
          <w:b w:val="0"/>
          <w:szCs w:val="24"/>
        </w:rPr>
        <w:tab/>
      </w:r>
      <w:r w:rsidR="00386898">
        <w:rPr>
          <w:rFonts w:ascii="Arial" w:hAnsi="Arial" w:cs="Arial"/>
          <w:b w:val="0"/>
          <w:szCs w:val="24"/>
        </w:rPr>
        <w:t xml:space="preserve"> </w:t>
      </w:r>
      <w:r w:rsidR="00132468" w:rsidRPr="00A74EDE">
        <w:rPr>
          <w:rFonts w:ascii="Arial" w:hAnsi="Arial" w:cs="Arial"/>
          <w:b w:val="0"/>
          <w:szCs w:val="24"/>
        </w:rPr>
        <w:t xml:space="preserve">Judge of the Superior </w:t>
      </w:r>
      <w:r w:rsidR="002647C5" w:rsidRPr="00A74EDE">
        <w:rPr>
          <w:rFonts w:ascii="Arial" w:hAnsi="Arial" w:cs="Arial"/>
          <w:b w:val="0"/>
          <w:szCs w:val="24"/>
        </w:rPr>
        <w:t xml:space="preserve">Court </w:t>
      </w:r>
    </w:p>
    <w:p w14:paraId="15C7DDF6" w14:textId="3D811E5F" w:rsidR="00386898" w:rsidRPr="00A74EDE" w:rsidRDefault="00386898" w:rsidP="00386898">
      <w:pPr>
        <w:spacing w:line="24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b w:val="0"/>
          <w:szCs w:val="24"/>
        </w:rPr>
        <w:t xml:space="preserve"> </w:t>
      </w:r>
    </w:p>
    <w:sectPr w:rsidR="00386898" w:rsidRPr="00A74EDE" w:rsidSect="00F41A00">
      <w:headerReference w:type="default" r:id="rId12"/>
      <w:footerReference w:type="default" r:id="rId13"/>
      <w:pgSz w:w="12240" w:h="15840" w:code="1"/>
      <w:pgMar w:top="-1440" w:right="720" w:bottom="-990" w:left="216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D8A8" w14:textId="77777777" w:rsidR="00883A6C" w:rsidRDefault="00883A6C">
      <w:pPr>
        <w:spacing w:line="240" w:lineRule="auto"/>
      </w:pPr>
      <w:r>
        <w:separator/>
      </w:r>
    </w:p>
  </w:endnote>
  <w:endnote w:type="continuationSeparator" w:id="0">
    <w:p w14:paraId="53B8D8A9" w14:textId="77777777" w:rsidR="00883A6C" w:rsidRDefault="0088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D8AB" w14:textId="2C54BA1B" w:rsidR="00F41A00" w:rsidRDefault="00F41A00" w:rsidP="00F41A00">
    <w:pPr>
      <w:pStyle w:val="Footer"/>
      <w:spacing w:line="240" w:lineRule="auto"/>
      <w:jc w:val="center"/>
    </w:pPr>
    <w:r>
      <w:t>-</w:t>
    </w:r>
    <w:r>
      <w:fldChar w:fldCharType="begin"/>
    </w:r>
    <w:r>
      <w:instrText xml:space="preserve"> PAGE  \* MERGEFORMAT </w:instrText>
    </w:r>
    <w:r>
      <w:fldChar w:fldCharType="separate"/>
    </w:r>
    <w:r w:rsidR="00962EDB">
      <w:rPr>
        <w:noProof/>
      </w:rPr>
      <w:t>1</w:t>
    </w:r>
    <w:r>
      <w:fldChar w:fldCharType="end"/>
    </w:r>
    <w:r>
      <w:t>-</w:t>
    </w:r>
    <w:r w:rsidR="00F66888">
      <w:t xml:space="preserve">                              </w:t>
    </w:r>
  </w:p>
  <w:p w14:paraId="7C446883" w14:textId="4D18BEC5" w:rsidR="00F66888" w:rsidRPr="00F66888" w:rsidRDefault="00F66888" w:rsidP="00F66888">
    <w:pPr>
      <w:pStyle w:val="Footer"/>
      <w:spacing w:line="240" w:lineRule="auto"/>
      <w:rPr>
        <w:sz w:val="16"/>
        <w:szCs w:val="16"/>
      </w:rPr>
    </w:pPr>
    <w:r w:rsidRPr="00F66888">
      <w:rPr>
        <w:sz w:val="16"/>
        <w:szCs w:val="16"/>
      </w:rPr>
      <w:t>Revised 6/21/21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D8A6" w14:textId="77777777" w:rsidR="00883A6C" w:rsidRDefault="00883A6C">
      <w:pPr>
        <w:spacing w:line="240" w:lineRule="auto"/>
      </w:pPr>
      <w:r>
        <w:separator/>
      </w:r>
    </w:p>
  </w:footnote>
  <w:footnote w:type="continuationSeparator" w:id="0">
    <w:p w14:paraId="53B8D8A7" w14:textId="77777777" w:rsidR="00883A6C" w:rsidRDefault="0088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D8AA" w14:textId="77777777" w:rsidR="00F41A00" w:rsidRDefault="00F41A00">
    <w:pPr>
      <w:pStyle w:val="Header"/>
    </w:pPr>
    <w:r>
      <w:rPr>
        <w:noProof/>
      </w:rPr>
      <mc:AlternateContent>
        <mc:Choice Requires="wps">
          <w:drawing>
            <wp:anchor distT="0" distB="0" distL="114300" distR="114300" simplePos="0" relativeHeight="251662336" behindDoc="0" locked="0" layoutInCell="0" allowOverlap="1" wp14:anchorId="53B8D8AC" wp14:editId="53B8D8AD">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8D8B4" w14:textId="77777777" w:rsidR="00F41A00" w:rsidRDefault="00F41A00">
                          <w:pPr>
                            <w:jc w:val="right"/>
                          </w:pPr>
                          <w:r>
                            <w:t>1</w:t>
                          </w:r>
                        </w:p>
                        <w:p w14:paraId="53B8D8B5" w14:textId="77777777" w:rsidR="00F41A00" w:rsidRDefault="00F41A00">
                          <w:pPr>
                            <w:jc w:val="right"/>
                          </w:pPr>
                          <w:r>
                            <w:t>2</w:t>
                          </w:r>
                        </w:p>
                        <w:p w14:paraId="53B8D8B6" w14:textId="77777777" w:rsidR="00F41A00" w:rsidRDefault="00F41A00">
                          <w:pPr>
                            <w:jc w:val="right"/>
                          </w:pPr>
                          <w:r>
                            <w:t>3</w:t>
                          </w:r>
                        </w:p>
                        <w:p w14:paraId="53B8D8B7" w14:textId="77777777" w:rsidR="00F41A00" w:rsidRDefault="00F41A00">
                          <w:pPr>
                            <w:jc w:val="right"/>
                          </w:pPr>
                          <w:r>
                            <w:t>4</w:t>
                          </w:r>
                        </w:p>
                        <w:p w14:paraId="53B8D8B8" w14:textId="77777777" w:rsidR="00F41A00" w:rsidRDefault="00F41A00">
                          <w:pPr>
                            <w:jc w:val="right"/>
                          </w:pPr>
                          <w:r>
                            <w:t>5</w:t>
                          </w:r>
                        </w:p>
                        <w:p w14:paraId="53B8D8B9" w14:textId="77777777" w:rsidR="00F41A00" w:rsidRDefault="00F41A00">
                          <w:pPr>
                            <w:jc w:val="right"/>
                          </w:pPr>
                          <w:r>
                            <w:t>6</w:t>
                          </w:r>
                        </w:p>
                        <w:p w14:paraId="53B8D8BA" w14:textId="77777777" w:rsidR="00F41A00" w:rsidRDefault="00F41A00">
                          <w:pPr>
                            <w:jc w:val="right"/>
                          </w:pPr>
                          <w:r>
                            <w:t>7</w:t>
                          </w:r>
                        </w:p>
                        <w:p w14:paraId="53B8D8BB" w14:textId="77777777" w:rsidR="00F41A00" w:rsidRDefault="00F41A00">
                          <w:pPr>
                            <w:jc w:val="right"/>
                          </w:pPr>
                          <w:r>
                            <w:t>8</w:t>
                          </w:r>
                        </w:p>
                        <w:p w14:paraId="53B8D8BC" w14:textId="77777777" w:rsidR="00F41A00" w:rsidRDefault="00F41A00">
                          <w:pPr>
                            <w:jc w:val="right"/>
                          </w:pPr>
                          <w:r>
                            <w:t>9</w:t>
                          </w:r>
                        </w:p>
                        <w:p w14:paraId="53B8D8BD" w14:textId="77777777" w:rsidR="00F41A00" w:rsidRDefault="00F41A00">
                          <w:pPr>
                            <w:jc w:val="right"/>
                          </w:pPr>
                          <w:r>
                            <w:t>10</w:t>
                          </w:r>
                        </w:p>
                        <w:p w14:paraId="53B8D8BE" w14:textId="77777777" w:rsidR="00F41A00" w:rsidRDefault="00F41A00">
                          <w:pPr>
                            <w:jc w:val="right"/>
                          </w:pPr>
                          <w:r>
                            <w:t>11</w:t>
                          </w:r>
                        </w:p>
                        <w:p w14:paraId="53B8D8BF" w14:textId="77777777" w:rsidR="00F41A00" w:rsidRDefault="00F41A00">
                          <w:pPr>
                            <w:jc w:val="right"/>
                          </w:pPr>
                          <w:r>
                            <w:t>12</w:t>
                          </w:r>
                        </w:p>
                        <w:p w14:paraId="53B8D8C0" w14:textId="77777777" w:rsidR="00F41A00" w:rsidRDefault="00F41A00">
                          <w:pPr>
                            <w:jc w:val="right"/>
                          </w:pPr>
                          <w:r>
                            <w:t>13</w:t>
                          </w:r>
                        </w:p>
                        <w:p w14:paraId="53B8D8C1" w14:textId="77777777" w:rsidR="00F41A00" w:rsidRDefault="00F41A00">
                          <w:pPr>
                            <w:jc w:val="right"/>
                          </w:pPr>
                          <w:r>
                            <w:t>14</w:t>
                          </w:r>
                        </w:p>
                        <w:p w14:paraId="53B8D8C2" w14:textId="77777777" w:rsidR="00F41A00" w:rsidRDefault="00F41A00">
                          <w:pPr>
                            <w:jc w:val="right"/>
                          </w:pPr>
                          <w:r>
                            <w:t>15</w:t>
                          </w:r>
                        </w:p>
                        <w:p w14:paraId="53B8D8C3" w14:textId="77777777" w:rsidR="00F41A00" w:rsidRDefault="00F41A00">
                          <w:pPr>
                            <w:jc w:val="right"/>
                          </w:pPr>
                          <w:r>
                            <w:t>16</w:t>
                          </w:r>
                        </w:p>
                        <w:p w14:paraId="53B8D8C4" w14:textId="77777777" w:rsidR="00F41A00" w:rsidRDefault="00F41A00">
                          <w:pPr>
                            <w:jc w:val="right"/>
                          </w:pPr>
                          <w:r>
                            <w:t>17</w:t>
                          </w:r>
                        </w:p>
                        <w:p w14:paraId="53B8D8C5" w14:textId="77777777" w:rsidR="00F41A00" w:rsidRDefault="00F41A00">
                          <w:pPr>
                            <w:jc w:val="right"/>
                          </w:pPr>
                          <w:r>
                            <w:t>18</w:t>
                          </w:r>
                        </w:p>
                        <w:p w14:paraId="53B8D8C6" w14:textId="77777777" w:rsidR="00F41A00" w:rsidRDefault="00F41A00">
                          <w:pPr>
                            <w:jc w:val="right"/>
                          </w:pPr>
                          <w:r>
                            <w:t>19</w:t>
                          </w:r>
                        </w:p>
                        <w:p w14:paraId="53B8D8C7" w14:textId="77777777" w:rsidR="00F41A00" w:rsidRDefault="00F41A00">
                          <w:pPr>
                            <w:jc w:val="right"/>
                          </w:pPr>
                          <w:r>
                            <w:t>20</w:t>
                          </w:r>
                        </w:p>
                        <w:p w14:paraId="53B8D8C8" w14:textId="77777777" w:rsidR="00F41A00" w:rsidRDefault="00F41A00">
                          <w:pPr>
                            <w:jc w:val="right"/>
                          </w:pPr>
                          <w:r>
                            <w:t>21</w:t>
                          </w:r>
                        </w:p>
                        <w:p w14:paraId="53B8D8C9" w14:textId="77777777" w:rsidR="00F41A00" w:rsidRDefault="00F41A00">
                          <w:pPr>
                            <w:jc w:val="right"/>
                          </w:pPr>
                          <w:r>
                            <w:t>22</w:t>
                          </w:r>
                        </w:p>
                        <w:p w14:paraId="53B8D8CA" w14:textId="77777777" w:rsidR="00F41A00" w:rsidRDefault="00F41A00">
                          <w:pPr>
                            <w:jc w:val="right"/>
                          </w:pPr>
                          <w:r>
                            <w:t>23</w:t>
                          </w:r>
                        </w:p>
                        <w:p w14:paraId="53B8D8CB" w14:textId="77777777" w:rsidR="00F41A00" w:rsidRDefault="00F41A00">
                          <w:pPr>
                            <w:jc w:val="right"/>
                          </w:pPr>
                          <w:r>
                            <w:t>24</w:t>
                          </w:r>
                        </w:p>
                        <w:p w14:paraId="53B8D8CC" w14:textId="77777777" w:rsidR="00F41A00" w:rsidRDefault="00F41A00">
                          <w:pPr>
                            <w:jc w:val="right"/>
                          </w:pPr>
                          <w:r>
                            <w:t>25</w:t>
                          </w:r>
                        </w:p>
                        <w:p w14:paraId="53B8D8CD" w14:textId="77777777" w:rsidR="00F41A00" w:rsidRDefault="00F41A00">
                          <w:pPr>
                            <w:jc w:val="right"/>
                          </w:pPr>
                          <w:r>
                            <w:t>26</w:t>
                          </w:r>
                        </w:p>
                        <w:p w14:paraId="53B8D8CE" w14:textId="77777777" w:rsidR="00F41A00" w:rsidRDefault="00F41A00">
                          <w:pPr>
                            <w:jc w:val="right"/>
                          </w:pPr>
                          <w:r>
                            <w:t>27</w:t>
                          </w:r>
                        </w:p>
                        <w:p w14:paraId="53B8D8CF" w14:textId="77777777" w:rsidR="00F41A00" w:rsidRDefault="00F41A00">
                          <w:pPr>
                            <w:jc w:val="right"/>
                          </w:pPr>
                          <w:r>
                            <w:t>28</w:t>
                          </w:r>
                        </w:p>
                        <w:p w14:paraId="53B8D8D0" w14:textId="77777777" w:rsidR="00F41A00" w:rsidRDefault="00F41A0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B8D8AC" id="_x0000_t202" coordsize="21600,21600" o:spt="202" path="m,l,21600r21600,l21600,xe">
              <v:stroke joinstyle="miter"/>
              <v:path gradientshapeok="t" o:connecttype="rect"/>
            </v:shapetype>
            <v:shape id="Text Box 4" o:spid="_x0000_s1026" type="#_x0000_t202" style="position:absolute;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" o:allowincell="f" stroked="f">
              <v:textbox inset="0,0,0,0">
                <w:txbxContent>
                  <w:p w14:paraId="53B8D8B4" w14:textId="77777777" w:rsidR="00F41A00" w:rsidRDefault="00F41A00">
                    <w:pPr>
                      <w:jc w:val="right"/>
                    </w:pPr>
                    <w:r>
                      <w:t>1</w:t>
                    </w:r>
                  </w:p>
                  <w:p w14:paraId="53B8D8B5" w14:textId="77777777" w:rsidR="00F41A00" w:rsidRDefault="00F41A00">
                    <w:pPr>
                      <w:jc w:val="right"/>
                    </w:pPr>
                    <w:r>
                      <w:t>2</w:t>
                    </w:r>
                  </w:p>
                  <w:p w14:paraId="53B8D8B6" w14:textId="77777777" w:rsidR="00F41A00" w:rsidRDefault="00F41A00">
                    <w:pPr>
                      <w:jc w:val="right"/>
                    </w:pPr>
                    <w:r>
                      <w:t>3</w:t>
                    </w:r>
                  </w:p>
                  <w:p w14:paraId="53B8D8B7" w14:textId="77777777" w:rsidR="00F41A00" w:rsidRDefault="00F41A00">
                    <w:pPr>
                      <w:jc w:val="right"/>
                    </w:pPr>
                    <w:r>
                      <w:t>4</w:t>
                    </w:r>
                  </w:p>
                  <w:p w14:paraId="53B8D8B8" w14:textId="77777777" w:rsidR="00F41A00" w:rsidRDefault="00F41A00">
                    <w:pPr>
                      <w:jc w:val="right"/>
                    </w:pPr>
                    <w:r>
                      <w:t>5</w:t>
                    </w:r>
                  </w:p>
                  <w:p w14:paraId="53B8D8B9" w14:textId="77777777" w:rsidR="00F41A00" w:rsidRDefault="00F41A00">
                    <w:pPr>
                      <w:jc w:val="right"/>
                    </w:pPr>
                    <w:r>
                      <w:t>6</w:t>
                    </w:r>
                  </w:p>
                  <w:p w14:paraId="53B8D8BA" w14:textId="77777777" w:rsidR="00F41A00" w:rsidRDefault="00F41A00">
                    <w:pPr>
                      <w:jc w:val="right"/>
                    </w:pPr>
                    <w:r>
                      <w:t>7</w:t>
                    </w:r>
                  </w:p>
                  <w:p w14:paraId="53B8D8BB" w14:textId="77777777" w:rsidR="00F41A00" w:rsidRDefault="00F41A00">
                    <w:pPr>
                      <w:jc w:val="right"/>
                    </w:pPr>
                    <w:r>
                      <w:t>8</w:t>
                    </w:r>
                  </w:p>
                  <w:p w14:paraId="53B8D8BC" w14:textId="77777777" w:rsidR="00F41A00" w:rsidRDefault="00F41A00">
                    <w:pPr>
                      <w:jc w:val="right"/>
                    </w:pPr>
                    <w:r>
                      <w:t>9</w:t>
                    </w:r>
                  </w:p>
                  <w:p w14:paraId="53B8D8BD" w14:textId="77777777" w:rsidR="00F41A00" w:rsidRDefault="00F41A00">
                    <w:pPr>
                      <w:jc w:val="right"/>
                    </w:pPr>
                    <w:r>
                      <w:t>10</w:t>
                    </w:r>
                  </w:p>
                  <w:p w14:paraId="53B8D8BE" w14:textId="77777777" w:rsidR="00F41A00" w:rsidRDefault="00F41A00">
                    <w:pPr>
                      <w:jc w:val="right"/>
                    </w:pPr>
                    <w:r>
                      <w:t>11</w:t>
                    </w:r>
                  </w:p>
                  <w:p w14:paraId="53B8D8BF" w14:textId="77777777" w:rsidR="00F41A00" w:rsidRDefault="00F41A00">
                    <w:pPr>
                      <w:jc w:val="right"/>
                    </w:pPr>
                    <w:r>
                      <w:t>12</w:t>
                    </w:r>
                  </w:p>
                  <w:p w14:paraId="53B8D8C0" w14:textId="77777777" w:rsidR="00F41A00" w:rsidRDefault="00F41A00">
                    <w:pPr>
                      <w:jc w:val="right"/>
                    </w:pPr>
                    <w:r>
                      <w:t>13</w:t>
                    </w:r>
                  </w:p>
                  <w:p w14:paraId="53B8D8C1" w14:textId="77777777" w:rsidR="00F41A00" w:rsidRDefault="00F41A00">
                    <w:pPr>
                      <w:jc w:val="right"/>
                    </w:pPr>
                    <w:r>
                      <w:t>14</w:t>
                    </w:r>
                  </w:p>
                  <w:p w14:paraId="53B8D8C2" w14:textId="77777777" w:rsidR="00F41A00" w:rsidRDefault="00F41A00">
                    <w:pPr>
                      <w:jc w:val="right"/>
                    </w:pPr>
                    <w:r>
                      <w:t>15</w:t>
                    </w:r>
                  </w:p>
                  <w:p w14:paraId="53B8D8C3" w14:textId="77777777" w:rsidR="00F41A00" w:rsidRDefault="00F41A00">
                    <w:pPr>
                      <w:jc w:val="right"/>
                    </w:pPr>
                    <w:r>
                      <w:t>16</w:t>
                    </w:r>
                  </w:p>
                  <w:p w14:paraId="53B8D8C4" w14:textId="77777777" w:rsidR="00F41A00" w:rsidRDefault="00F41A00">
                    <w:pPr>
                      <w:jc w:val="right"/>
                    </w:pPr>
                    <w:r>
                      <w:t>17</w:t>
                    </w:r>
                  </w:p>
                  <w:p w14:paraId="53B8D8C5" w14:textId="77777777" w:rsidR="00F41A00" w:rsidRDefault="00F41A00">
                    <w:pPr>
                      <w:jc w:val="right"/>
                    </w:pPr>
                    <w:r>
                      <w:t>18</w:t>
                    </w:r>
                  </w:p>
                  <w:p w14:paraId="53B8D8C6" w14:textId="77777777" w:rsidR="00F41A00" w:rsidRDefault="00F41A00">
                    <w:pPr>
                      <w:jc w:val="right"/>
                    </w:pPr>
                    <w:r>
                      <w:t>19</w:t>
                    </w:r>
                  </w:p>
                  <w:p w14:paraId="53B8D8C7" w14:textId="77777777" w:rsidR="00F41A00" w:rsidRDefault="00F41A00">
                    <w:pPr>
                      <w:jc w:val="right"/>
                    </w:pPr>
                    <w:r>
                      <w:t>20</w:t>
                    </w:r>
                  </w:p>
                  <w:p w14:paraId="53B8D8C8" w14:textId="77777777" w:rsidR="00F41A00" w:rsidRDefault="00F41A00">
                    <w:pPr>
                      <w:jc w:val="right"/>
                    </w:pPr>
                    <w:r>
                      <w:t>21</w:t>
                    </w:r>
                  </w:p>
                  <w:p w14:paraId="53B8D8C9" w14:textId="77777777" w:rsidR="00F41A00" w:rsidRDefault="00F41A00">
                    <w:pPr>
                      <w:jc w:val="right"/>
                    </w:pPr>
                    <w:r>
                      <w:t>22</w:t>
                    </w:r>
                  </w:p>
                  <w:p w14:paraId="53B8D8CA" w14:textId="77777777" w:rsidR="00F41A00" w:rsidRDefault="00F41A00">
                    <w:pPr>
                      <w:jc w:val="right"/>
                    </w:pPr>
                    <w:r>
                      <w:t>23</w:t>
                    </w:r>
                  </w:p>
                  <w:p w14:paraId="53B8D8CB" w14:textId="77777777" w:rsidR="00F41A00" w:rsidRDefault="00F41A00">
                    <w:pPr>
                      <w:jc w:val="right"/>
                    </w:pPr>
                    <w:r>
                      <w:t>24</w:t>
                    </w:r>
                  </w:p>
                  <w:p w14:paraId="53B8D8CC" w14:textId="77777777" w:rsidR="00F41A00" w:rsidRDefault="00F41A00">
                    <w:pPr>
                      <w:jc w:val="right"/>
                    </w:pPr>
                    <w:r>
                      <w:t>25</w:t>
                    </w:r>
                  </w:p>
                  <w:p w14:paraId="53B8D8CD" w14:textId="77777777" w:rsidR="00F41A00" w:rsidRDefault="00F41A00">
                    <w:pPr>
                      <w:jc w:val="right"/>
                    </w:pPr>
                    <w:r>
                      <w:t>26</w:t>
                    </w:r>
                  </w:p>
                  <w:p w14:paraId="53B8D8CE" w14:textId="77777777" w:rsidR="00F41A00" w:rsidRDefault="00F41A00">
                    <w:pPr>
                      <w:jc w:val="right"/>
                    </w:pPr>
                    <w:r>
                      <w:t>27</w:t>
                    </w:r>
                  </w:p>
                  <w:p w14:paraId="53B8D8CF" w14:textId="77777777" w:rsidR="00F41A00" w:rsidRDefault="00F41A00">
                    <w:pPr>
                      <w:jc w:val="right"/>
                    </w:pPr>
                    <w:r>
                      <w:t>28</w:t>
                    </w:r>
                  </w:p>
                  <w:p w14:paraId="53B8D8D0" w14:textId="77777777" w:rsidR="00F41A00" w:rsidRDefault="00F41A00">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53B8D8AE" wp14:editId="53B8D8AF">
              <wp:simplePos x="0" y="0"/>
              <wp:positionH relativeFrom="margin">
                <wp:posOffset>5943600</wp:posOffset>
              </wp:positionH>
              <wp:positionV relativeFrom="page">
                <wp:posOffset>0</wp:posOffset>
              </wp:positionV>
              <wp:extent cx="0" cy="100584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BEC1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o:allowincell="f">
              <w10:wrap anchorx="margin" anchory="page"/>
            </v:line>
          </w:pict>
        </mc:Fallback>
      </mc:AlternateContent>
    </w:r>
    <w:r>
      <w:rPr>
        <w:noProof/>
      </w:rPr>
      <mc:AlternateContent>
        <mc:Choice Requires="wps">
          <w:drawing>
            <wp:anchor distT="0" distB="0" distL="114300" distR="114300" simplePos="0" relativeHeight="251660288" behindDoc="0" locked="0" layoutInCell="0" allowOverlap="1" wp14:anchorId="53B8D8B0" wp14:editId="53B8D8B1">
              <wp:simplePos x="0" y="0"/>
              <wp:positionH relativeFrom="margin">
                <wp:posOffset>-91440</wp:posOffset>
              </wp:positionH>
              <wp:positionV relativeFrom="page">
                <wp:posOffset>0</wp:posOffset>
              </wp:positionV>
              <wp:extent cx="0"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EE6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53B8D8B2" wp14:editId="53B8D8B3">
              <wp:simplePos x="0" y="0"/>
              <wp:positionH relativeFrom="margin">
                <wp:posOffset>-45720</wp:posOffset>
              </wp:positionH>
              <wp:positionV relativeFrom="page">
                <wp:posOffset>0</wp:posOffset>
              </wp:positionV>
              <wp:extent cx="0" cy="100584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FE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E21"/>
    <w:multiLevelType w:val="hybridMultilevel"/>
    <w:tmpl w:val="C8CE1756"/>
    <w:lvl w:ilvl="0" w:tplc="7D5CC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34226"/>
    <w:multiLevelType w:val="hybridMultilevel"/>
    <w:tmpl w:val="43F0A5FC"/>
    <w:lvl w:ilvl="0" w:tplc="7320F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C27B3"/>
    <w:multiLevelType w:val="hybridMultilevel"/>
    <w:tmpl w:val="1548D45A"/>
    <w:lvl w:ilvl="0" w:tplc="6854FE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9C6E1B"/>
    <w:multiLevelType w:val="hybridMultilevel"/>
    <w:tmpl w:val="9E9C51E4"/>
    <w:lvl w:ilvl="0" w:tplc="0E508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046021"/>
    <w:multiLevelType w:val="hybridMultilevel"/>
    <w:tmpl w:val="D6D67B46"/>
    <w:lvl w:ilvl="0" w:tplc="ACFCE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230D27"/>
    <w:multiLevelType w:val="hybridMultilevel"/>
    <w:tmpl w:val="02722CC0"/>
    <w:lvl w:ilvl="0" w:tplc="C9DA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0D0FCA"/>
    <w:multiLevelType w:val="hybridMultilevel"/>
    <w:tmpl w:val="9B42AFDA"/>
    <w:lvl w:ilvl="0" w:tplc="5DD0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A0059"/>
    <w:multiLevelType w:val="hybridMultilevel"/>
    <w:tmpl w:val="CA14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24E6C"/>
    <w:multiLevelType w:val="hybridMultilevel"/>
    <w:tmpl w:val="D34ED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A29A4"/>
    <w:multiLevelType w:val="hybridMultilevel"/>
    <w:tmpl w:val="0E32D42C"/>
    <w:lvl w:ilvl="0" w:tplc="EDCE8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142D64"/>
    <w:multiLevelType w:val="hybridMultilevel"/>
    <w:tmpl w:val="54EE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631CA"/>
    <w:multiLevelType w:val="hybridMultilevel"/>
    <w:tmpl w:val="5A944BE8"/>
    <w:lvl w:ilvl="0" w:tplc="4A203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4C0534"/>
    <w:multiLevelType w:val="hybridMultilevel"/>
    <w:tmpl w:val="EEF4B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05636"/>
    <w:multiLevelType w:val="hybridMultilevel"/>
    <w:tmpl w:val="35D225F0"/>
    <w:lvl w:ilvl="0" w:tplc="97760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A2511A"/>
    <w:multiLevelType w:val="hybridMultilevel"/>
    <w:tmpl w:val="E632BA8A"/>
    <w:lvl w:ilvl="0" w:tplc="5114D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DD208D"/>
    <w:multiLevelType w:val="hybridMultilevel"/>
    <w:tmpl w:val="17045272"/>
    <w:lvl w:ilvl="0" w:tplc="4A08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E361A4"/>
    <w:multiLevelType w:val="hybridMultilevel"/>
    <w:tmpl w:val="D264DAB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3611B"/>
    <w:multiLevelType w:val="hybridMultilevel"/>
    <w:tmpl w:val="FE5A65B0"/>
    <w:lvl w:ilvl="0" w:tplc="C322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0"/>
  </w:num>
  <w:num w:numId="5">
    <w:abstractNumId w:val="14"/>
  </w:num>
  <w:num w:numId="6">
    <w:abstractNumId w:val="1"/>
  </w:num>
  <w:num w:numId="7">
    <w:abstractNumId w:val="13"/>
  </w:num>
  <w:num w:numId="8">
    <w:abstractNumId w:val="3"/>
  </w:num>
  <w:num w:numId="9">
    <w:abstractNumId w:val="4"/>
  </w:num>
  <w:num w:numId="10">
    <w:abstractNumId w:val="5"/>
  </w:num>
  <w:num w:numId="11">
    <w:abstractNumId w:val="9"/>
  </w:num>
  <w:num w:numId="12">
    <w:abstractNumId w:val="17"/>
  </w:num>
  <w:num w:numId="13">
    <w:abstractNumId w:val="11"/>
  </w:num>
  <w:num w:numId="14">
    <w:abstractNumId w:val="7"/>
  </w:num>
  <w:num w:numId="15">
    <w:abstractNumId w:val="16"/>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CCD9E2CA-07BC-44B1-ADF9-9A3172D0B8E6}"/>
  </w:docVars>
  <w:rsids>
    <w:rsidRoot w:val="003D14F7"/>
    <w:rsid w:val="000006FF"/>
    <w:rsid w:val="00024A10"/>
    <w:rsid w:val="00046EF4"/>
    <w:rsid w:val="00054912"/>
    <w:rsid w:val="00065712"/>
    <w:rsid w:val="000921DB"/>
    <w:rsid w:val="000A1847"/>
    <w:rsid w:val="000B5DE2"/>
    <w:rsid w:val="000C4EA9"/>
    <w:rsid w:val="00100EF1"/>
    <w:rsid w:val="001130C2"/>
    <w:rsid w:val="00132468"/>
    <w:rsid w:val="00133BFA"/>
    <w:rsid w:val="00170C4A"/>
    <w:rsid w:val="00184292"/>
    <w:rsid w:val="001845D8"/>
    <w:rsid w:val="001C7D6D"/>
    <w:rsid w:val="001F7137"/>
    <w:rsid w:val="002076AF"/>
    <w:rsid w:val="00207A9F"/>
    <w:rsid w:val="002178E8"/>
    <w:rsid w:val="002279F9"/>
    <w:rsid w:val="00240AA8"/>
    <w:rsid w:val="002423FD"/>
    <w:rsid w:val="00245853"/>
    <w:rsid w:val="002647C5"/>
    <w:rsid w:val="002A06D0"/>
    <w:rsid w:val="002B2293"/>
    <w:rsid w:val="002E3DEE"/>
    <w:rsid w:val="002E690E"/>
    <w:rsid w:val="00304E8B"/>
    <w:rsid w:val="003102CC"/>
    <w:rsid w:val="00321377"/>
    <w:rsid w:val="0032275D"/>
    <w:rsid w:val="00354059"/>
    <w:rsid w:val="00374622"/>
    <w:rsid w:val="00386898"/>
    <w:rsid w:val="00394CF5"/>
    <w:rsid w:val="003971D0"/>
    <w:rsid w:val="003C3638"/>
    <w:rsid w:val="003C4122"/>
    <w:rsid w:val="003D14F7"/>
    <w:rsid w:val="00415A4F"/>
    <w:rsid w:val="00421CBC"/>
    <w:rsid w:val="00423D44"/>
    <w:rsid w:val="00432794"/>
    <w:rsid w:val="004532D1"/>
    <w:rsid w:val="00456F7C"/>
    <w:rsid w:val="00484B6E"/>
    <w:rsid w:val="00496A96"/>
    <w:rsid w:val="004A5ED8"/>
    <w:rsid w:val="004B7755"/>
    <w:rsid w:val="004C1F21"/>
    <w:rsid w:val="0050250C"/>
    <w:rsid w:val="00537B84"/>
    <w:rsid w:val="00540376"/>
    <w:rsid w:val="005418C6"/>
    <w:rsid w:val="005964EB"/>
    <w:rsid w:val="005B5C66"/>
    <w:rsid w:val="005C6054"/>
    <w:rsid w:val="005E68F6"/>
    <w:rsid w:val="005E79F8"/>
    <w:rsid w:val="005F570C"/>
    <w:rsid w:val="00620898"/>
    <w:rsid w:val="0062347A"/>
    <w:rsid w:val="00624612"/>
    <w:rsid w:val="00645CB9"/>
    <w:rsid w:val="00656BFD"/>
    <w:rsid w:val="00681404"/>
    <w:rsid w:val="00697864"/>
    <w:rsid w:val="006A2FF6"/>
    <w:rsid w:val="006D35BD"/>
    <w:rsid w:val="00710442"/>
    <w:rsid w:val="00781330"/>
    <w:rsid w:val="007B4713"/>
    <w:rsid w:val="007C12D9"/>
    <w:rsid w:val="007E014E"/>
    <w:rsid w:val="007E22DC"/>
    <w:rsid w:val="00883A6C"/>
    <w:rsid w:val="00896498"/>
    <w:rsid w:val="00897B5E"/>
    <w:rsid w:val="008A0CC8"/>
    <w:rsid w:val="008B2528"/>
    <w:rsid w:val="008C046A"/>
    <w:rsid w:val="008C343D"/>
    <w:rsid w:val="008C7D0C"/>
    <w:rsid w:val="008F4204"/>
    <w:rsid w:val="00920730"/>
    <w:rsid w:val="00926741"/>
    <w:rsid w:val="00940B37"/>
    <w:rsid w:val="00951FCA"/>
    <w:rsid w:val="00962EDB"/>
    <w:rsid w:val="00992290"/>
    <w:rsid w:val="009D22FC"/>
    <w:rsid w:val="009D5E08"/>
    <w:rsid w:val="00A00491"/>
    <w:rsid w:val="00A20CBC"/>
    <w:rsid w:val="00A43DEB"/>
    <w:rsid w:val="00A444F1"/>
    <w:rsid w:val="00A50B71"/>
    <w:rsid w:val="00A74EDE"/>
    <w:rsid w:val="00AA05C9"/>
    <w:rsid w:val="00AA5084"/>
    <w:rsid w:val="00AA634A"/>
    <w:rsid w:val="00AC10A0"/>
    <w:rsid w:val="00AE3DC6"/>
    <w:rsid w:val="00B0219C"/>
    <w:rsid w:val="00B055E8"/>
    <w:rsid w:val="00B23B20"/>
    <w:rsid w:val="00B27EC8"/>
    <w:rsid w:val="00B346A3"/>
    <w:rsid w:val="00B3512F"/>
    <w:rsid w:val="00B61CA9"/>
    <w:rsid w:val="00B63607"/>
    <w:rsid w:val="00BB6A52"/>
    <w:rsid w:val="00BC0C69"/>
    <w:rsid w:val="00BC5487"/>
    <w:rsid w:val="00BE1AC0"/>
    <w:rsid w:val="00BF1732"/>
    <w:rsid w:val="00C05726"/>
    <w:rsid w:val="00C30DB6"/>
    <w:rsid w:val="00C34CEB"/>
    <w:rsid w:val="00C42115"/>
    <w:rsid w:val="00C611DB"/>
    <w:rsid w:val="00C633A9"/>
    <w:rsid w:val="00C72090"/>
    <w:rsid w:val="00C81389"/>
    <w:rsid w:val="00C93D15"/>
    <w:rsid w:val="00CA4541"/>
    <w:rsid w:val="00CC0F37"/>
    <w:rsid w:val="00CF46BF"/>
    <w:rsid w:val="00CF4A87"/>
    <w:rsid w:val="00D03B58"/>
    <w:rsid w:val="00DA2C5F"/>
    <w:rsid w:val="00DB1BE0"/>
    <w:rsid w:val="00DE6A9F"/>
    <w:rsid w:val="00DF1778"/>
    <w:rsid w:val="00E36C56"/>
    <w:rsid w:val="00E7114B"/>
    <w:rsid w:val="00E7656D"/>
    <w:rsid w:val="00EA510A"/>
    <w:rsid w:val="00EB711B"/>
    <w:rsid w:val="00EC4F17"/>
    <w:rsid w:val="00ED34C3"/>
    <w:rsid w:val="00EE7344"/>
    <w:rsid w:val="00F05B52"/>
    <w:rsid w:val="00F151CA"/>
    <w:rsid w:val="00F41A00"/>
    <w:rsid w:val="00F44BD5"/>
    <w:rsid w:val="00F461EA"/>
    <w:rsid w:val="00F65D91"/>
    <w:rsid w:val="00F66888"/>
    <w:rsid w:val="00F8780E"/>
    <w:rsid w:val="00FA4540"/>
    <w:rsid w:val="00FA5214"/>
    <w:rsid w:val="00FA750D"/>
    <w:rsid w:val="00FB5D59"/>
    <w:rsid w:val="00FD4675"/>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B8D867"/>
  <w15:docId w15:val="{5BF5ABC8-A3B9-4BF2-8ABF-7B43D21B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F7"/>
    <w:pPr>
      <w:spacing w:after="0" w:line="455" w:lineRule="exact"/>
    </w:pPr>
    <w:rPr>
      <w:rFonts w:ascii="Geneva" w:eastAsia="Times New Roman" w:hAnsi="Genev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3D14F7"/>
    <w:pPr>
      <w:spacing w:line="227" w:lineRule="exact"/>
    </w:pPr>
  </w:style>
  <w:style w:type="paragraph" w:styleId="Header">
    <w:name w:val="header"/>
    <w:basedOn w:val="Normal"/>
    <w:link w:val="HeaderChar"/>
    <w:rsid w:val="003D14F7"/>
    <w:pPr>
      <w:tabs>
        <w:tab w:val="center" w:pos="4320"/>
        <w:tab w:val="right" w:pos="8640"/>
      </w:tabs>
    </w:pPr>
  </w:style>
  <w:style w:type="character" w:customStyle="1" w:styleId="HeaderChar">
    <w:name w:val="Header Char"/>
    <w:basedOn w:val="DefaultParagraphFont"/>
    <w:link w:val="Header"/>
    <w:rsid w:val="003D14F7"/>
    <w:rPr>
      <w:rFonts w:ascii="Geneva" w:eastAsia="Times New Roman" w:hAnsi="Geneva" w:cs="Times New Roman"/>
      <w:b/>
      <w:sz w:val="24"/>
      <w:szCs w:val="20"/>
    </w:rPr>
  </w:style>
  <w:style w:type="paragraph" w:styleId="Footer">
    <w:name w:val="footer"/>
    <w:basedOn w:val="Normal"/>
    <w:link w:val="FooterChar"/>
    <w:rsid w:val="003D14F7"/>
    <w:pPr>
      <w:tabs>
        <w:tab w:val="center" w:pos="4320"/>
        <w:tab w:val="right" w:pos="8640"/>
      </w:tabs>
    </w:pPr>
  </w:style>
  <w:style w:type="character" w:customStyle="1" w:styleId="FooterChar">
    <w:name w:val="Footer Char"/>
    <w:basedOn w:val="DefaultParagraphFont"/>
    <w:link w:val="Footer"/>
    <w:rsid w:val="003D14F7"/>
    <w:rPr>
      <w:rFonts w:ascii="Geneva" w:eastAsia="Times New Roman" w:hAnsi="Geneva" w:cs="Times New Roman"/>
      <w:b/>
      <w:sz w:val="24"/>
      <w:szCs w:val="20"/>
    </w:rPr>
  </w:style>
  <w:style w:type="paragraph" w:styleId="BalloonText">
    <w:name w:val="Balloon Text"/>
    <w:basedOn w:val="Normal"/>
    <w:link w:val="BalloonTextChar"/>
    <w:uiPriority w:val="99"/>
    <w:semiHidden/>
    <w:unhideWhenUsed/>
    <w:rsid w:val="00423D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D44"/>
    <w:rPr>
      <w:rFonts w:ascii="Tahoma" w:eastAsia="Times New Roman" w:hAnsi="Tahoma" w:cs="Tahoma"/>
      <w:b/>
      <w:sz w:val="16"/>
      <w:szCs w:val="16"/>
    </w:rPr>
  </w:style>
  <w:style w:type="paragraph" w:styleId="ListParagraph">
    <w:name w:val="List Paragraph"/>
    <w:basedOn w:val="Normal"/>
    <w:uiPriority w:val="34"/>
    <w:qFormat/>
    <w:rsid w:val="0032275D"/>
    <w:pPr>
      <w:ind w:left="720"/>
      <w:contextualSpacing/>
    </w:pPr>
  </w:style>
  <w:style w:type="paragraph" w:styleId="NoSpacing">
    <w:name w:val="No Spacing"/>
    <w:uiPriority w:val="1"/>
    <w:qFormat/>
    <w:rsid w:val="00926741"/>
    <w:pPr>
      <w:spacing w:after="0" w:line="240" w:lineRule="auto"/>
    </w:pPr>
  </w:style>
  <w:style w:type="paragraph" w:styleId="FootnoteText">
    <w:name w:val="footnote text"/>
    <w:basedOn w:val="Normal"/>
    <w:link w:val="FootnoteTextChar"/>
    <w:uiPriority w:val="99"/>
    <w:unhideWhenUsed/>
    <w:rsid w:val="00184292"/>
    <w:pPr>
      <w:spacing w:line="240" w:lineRule="auto"/>
    </w:pPr>
    <w:rPr>
      <w:rFonts w:asciiTheme="minorHAnsi" w:eastAsiaTheme="minorHAnsi" w:hAnsiTheme="minorHAnsi" w:cstheme="minorBidi"/>
      <w:b w:val="0"/>
      <w:sz w:val="20"/>
    </w:rPr>
  </w:style>
  <w:style w:type="character" w:customStyle="1" w:styleId="FootnoteTextChar">
    <w:name w:val="Footnote Text Char"/>
    <w:basedOn w:val="DefaultParagraphFont"/>
    <w:link w:val="FootnoteText"/>
    <w:uiPriority w:val="99"/>
    <w:rsid w:val="00184292"/>
    <w:rPr>
      <w:sz w:val="20"/>
      <w:szCs w:val="20"/>
    </w:rPr>
  </w:style>
  <w:style w:type="character" w:styleId="FootnoteReference">
    <w:name w:val="footnote reference"/>
    <w:basedOn w:val="DefaultParagraphFont"/>
    <w:uiPriority w:val="99"/>
    <w:semiHidden/>
    <w:unhideWhenUsed/>
    <w:rsid w:val="00184292"/>
    <w:rPr>
      <w:vertAlign w:val="superscript"/>
    </w:rPr>
  </w:style>
  <w:style w:type="character" w:styleId="Hyperlink">
    <w:name w:val="Hyperlink"/>
    <w:basedOn w:val="DefaultParagraphFont"/>
    <w:uiPriority w:val="99"/>
    <w:unhideWhenUsed/>
    <w:rsid w:val="005418C6"/>
    <w:rPr>
      <w:color w:val="0000FF" w:themeColor="hyperlink"/>
      <w:u w:val="single"/>
    </w:rPr>
  </w:style>
  <w:style w:type="character" w:styleId="PlaceholderText">
    <w:name w:val="Placeholder Text"/>
    <w:basedOn w:val="DefaultParagraphFont"/>
    <w:uiPriority w:val="99"/>
    <w:semiHidden/>
    <w:rsid w:val="00537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Cal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9AA63F-5031-4A21-8587-03ED37D61FD3}"/>
      </w:docPartPr>
      <w:docPartBody>
        <w:p w:rsidR="00A933B7" w:rsidRDefault="007A37FF">
          <w:r w:rsidRPr="00D905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F"/>
    <w:rsid w:val="007A37FF"/>
    <w:rsid w:val="00A9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7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AD340FA71E943A8A143F6771F6A8C" ma:contentTypeVersion="13" ma:contentTypeDescription="Create a new document." ma:contentTypeScope="" ma:versionID="23cd2363340b9b485a76232feac450b8">
  <xsd:schema xmlns:xsd="http://www.w3.org/2001/XMLSchema" xmlns:xs="http://www.w3.org/2001/XMLSchema" xmlns:p="http://schemas.microsoft.com/office/2006/metadata/properties" xmlns:ns3="755632f5-deb1-4951-9159-7670b61c5070" xmlns:ns4="0d16e06c-dc32-49e3-ae7d-62ae2790fe69" targetNamespace="http://schemas.microsoft.com/office/2006/metadata/properties" ma:root="true" ma:fieldsID="8c7d2992fd4fe77cf129f025282c963c" ns3:_="" ns4:_="">
    <xsd:import namespace="755632f5-deb1-4951-9159-7670b61c5070"/>
    <xsd:import namespace="0d16e06c-dc32-49e3-ae7d-62ae2790fe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632f5-deb1-4951-9159-7670b61c5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6e06c-dc32-49e3-ae7d-62ae2790fe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2EB6-B560-4668-AA45-6206F638CD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5632f5-deb1-4951-9159-7670b61c5070"/>
    <ds:schemaRef ds:uri="http://purl.org/dc/terms/"/>
    <ds:schemaRef ds:uri="http://schemas.openxmlformats.org/package/2006/metadata/core-properties"/>
    <ds:schemaRef ds:uri="0d16e06c-dc32-49e3-ae7d-62ae2790fe69"/>
    <ds:schemaRef ds:uri="http://www.w3.org/XML/1998/namespace"/>
    <ds:schemaRef ds:uri="http://purl.org/dc/dcmitype/"/>
  </ds:schemaRefs>
</ds:datastoreItem>
</file>

<file path=customXml/itemProps2.xml><?xml version="1.0" encoding="utf-8"?>
<ds:datastoreItem xmlns:ds="http://schemas.openxmlformats.org/officeDocument/2006/customXml" ds:itemID="{CB24A3A9-4D16-487E-85BE-365F009CD5F8}">
  <ds:schemaRefs>
    <ds:schemaRef ds:uri="http://schemas.microsoft.com/sharepoint/v3/contenttype/forms"/>
  </ds:schemaRefs>
</ds:datastoreItem>
</file>

<file path=customXml/itemProps3.xml><?xml version="1.0" encoding="utf-8"?>
<ds:datastoreItem xmlns:ds="http://schemas.openxmlformats.org/officeDocument/2006/customXml" ds:itemID="{4BAE2CC9-8EAD-4C67-B647-68170151C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632f5-deb1-4951-9159-7670b61c5070"/>
    <ds:schemaRef ds:uri="0d16e06c-dc32-49e3-ae7d-62ae2790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05FF2-8248-4052-96E2-46D6E889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Sachs, Hon. Michael</dc:creator>
  <cp:lastModifiedBy>Perez, Kim</cp:lastModifiedBy>
  <cp:revision>2</cp:revision>
  <cp:lastPrinted>2020-02-27T16:01:00Z</cp:lastPrinted>
  <dcterms:created xsi:type="dcterms:W3CDTF">2021-06-24T21:13:00Z</dcterms:created>
  <dcterms:modified xsi:type="dcterms:W3CDTF">2021-06-24T21:13:00Z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0x010100CC8AD340FA71E943A8A143F6771F6A8C</vt:lpwstr>
  </property>
</Properties>
</file>